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46293" w14:textId="77777777" w:rsidR="003D633C" w:rsidRPr="000B43EA" w:rsidRDefault="003D633C" w:rsidP="003D633C">
      <w:pPr>
        <w:jc w:val="center"/>
        <w:rPr>
          <w:rFonts w:ascii="Arial" w:hAnsi="Arial" w:cs="Arial"/>
          <w:b/>
          <w:sz w:val="24"/>
          <w:szCs w:val="24"/>
        </w:rPr>
      </w:pPr>
      <w:r w:rsidRPr="000B43EA">
        <w:rPr>
          <w:rFonts w:ascii="Arial" w:hAnsi="Arial" w:cs="Arial"/>
          <w:b/>
          <w:sz w:val="24"/>
          <w:szCs w:val="24"/>
        </w:rPr>
        <w:t>BAUBESCHREIBUNG</w:t>
      </w:r>
    </w:p>
    <w:p w14:paraId="2CA676F9" w14:textId="5443DAFC" w:rsidR="00781450" w:rsidRDefault="0010736A" w:rsidP="002F5A38">
      <w:pPr>
        <w:pStyle w:val="Listenabsatz"/>
        <w:numPr>
          <w:ilvl w:val="0"/>
          <w:numId w:val="6"/>
        </w:numPr>
        <w:spacing w:after="0" w:line="240" w:lineRule="auto"/>
        <w:ind w:left="426"/>
        <w:jc w:val="both"/>
        <w:rPr>
          <w:rFonts w:ascii="Arial" w:hAnsi="Arial" w:cs="Arial"/>
        </w:rPr>
      </w:pPr>
      <w:r w:rsidRPr="00781450">
        <w:rPr>
          <w:rFonts w:ascii="Arial" w:hAnsi="Arial" w:cs="Arial"/>
        </w:rPr>
        <w:t>Der Kreis Coesfeld beabsichtig</w:t>
      </w:r>
      <w:r w:rsidR="000B43EA" w:rsidRPr="00781450">
        <w:rPr>
          <w:rFonts w:ascii="Arial" w:hAnsi="Arial" w:cs="Arial"/>
        </w:rPr>
        <w:t>t</w:t>
      </w:r>
      <w:r w:rsidR="00C762EF" w:rsidRPr="00781450">
        <w:rPr>
          <w:rFonts w:ascii="Arial" w:hAnsi="Arial" w:cs="Arial"/>
        </w:rPr>
        <w:t xml:space="preserve"> </w:t>
      </w:r>
      <w:r w:rsidR="00076E14" w:rsidRPr="00781450">
        <w:rPr>
          <w:rFonts w:ascii="Arial" w:hAnsi="Arial" w:cs="Arial"/>
        </w:rPr>
        <w:t xml:space="preserve">im Jahr </w:t>
      </w:r>
      <w:r w:rsidR="00CA52B8">
        <w:rPr>
          <w:rFonts w:ascii="Arial" w:hAnsi="Arial" w:cs="Arial"/>
        </w:rPr>
        <w:t>202</w:t>
      </w:r>
      <w:r w:rsidR="001B61B0">
        <w:rPr>
          <w:rFonts w:ascii="Arial" w:hAnsi="Arial" w:cs="Arial"/>
        </w:rPr>
        <w:t>6</w:t>
      </w:r>
      <w:r w:rsidR="009C1529">
        <w:rPr>
          <w:rFonts w:ascii="Arial" w:hAnsi="Arial" w:cs="Arial"/>
        </w:rPr>
        <w:t xml:space="preserve"> eine</w:t>
      </w:r>
      <w:r w:rsidR="009C1529" w:rsidRPr="00781450">
        <w:rPr>
          <w:rFonts w:ascii="Arial" w:hAnsi="Arial" w:cs="Arial"/>
        </w:rPr>
        <w:t xml:space="preserve"> Oberflächenbehandlung</w:t>
      </w:r>
      <w:r w:rsidR="00076E14" w:rsidRPr="00781450">
        <w:rPr>
          <w:rFonts w:ascii="Arial" w:hAnsi="Arial" w:cs="Arial"/>
        </w:rPr>
        <w:t xml:space="preserve"> auf folgenden K</w:t>
      </w:r>
      <w:r w:rsidR="009C1529">
        <w:rPr>
          <w:rFonts w:ascii="Arial" w:hAnsi="Arial" w:cs="Arial"/>
        </w:rPr>
        <w:t>reisstraßen ausführen zu lassen:</w:t>
      </w:r>
      <w:r w:rsidR="00076E14" w:rsidRPr="00781450">
        <w:rPr>
          <w:rFonts w:ascii="Arial" w:hAnsi="Arial" w:cs="Arial"/>
        </w:rPr>
        <w:t xml:space="preserve"> </w:t>
      </w:r>
    </w:p>
    <w:p w14:paraId="092EF292" w14:textId="29BF8E94" w:rsidR="00D02145" w:rsidRDefault="00D02145" w:rsidP="00781450">
      <w:pPr>
        <w:pStyle w:val="Listenabsatz"/>
        <w:numPr>
          <w:ilvl w:val="1"/>
          <w:numId w:val="6"/>
        </w:numPr>
        <w:spacing w:after="0" w:line="240" w:lineRule="auto"/>
        <w:jc w:val="both"/>
        <w:rPr>
          <w:rFonts w:ascii="Arial" w:hAnsi="Arial" w:cs="Arial"/>
        </w:rPr>
      </w:pPr>
      <w:r>
        <w:rPr>
          <w:rFonts w:ascii="Arial" w:hAnsi="Arial" w:cs="Arial"/>
        </w:rPr>
        <w:t xml:space="preserve">K </w:t>
      </w:r>
      <w:r w:rsidR="001B61B0">
        <w:rPr>
          <w:rFonts w:ascii="Arial" w:hAnsi="Arial" w:cs="Arial"/>
        </w:rPr>
        <w:t>13</w:t>
      </w:r>
      <w:r>
        <w:rPr>
          <w:rFonts w:ascii="Arial" w:hAnsi="Arial" w:cs="Arial"/>
        </w:rPr>
        <w:t xml:space="preserve"> AN </w:t>
      </w:r>
      <w:r w:rsidR="001B61B0">
        <w:rPr>
          <w:rFonts w:ascii="Arial" w:hAnsi="Arial" w:cs="Arial"/>
        </w:rPr>
        <w:t xml:space="preserve">23.3 Billerbeck, </w:t>
      </w:r>
      <w:r>
        <w:rPr>
          <w:rFonts w:ascii="Arial" w:hAnsi="Arial" w:cs="Arial"/>
        </w:rPr>
        <w:t>L = 0,</w:t>
      </w:r>
      <w:r w:rsidR="001B61B0">
        <w:rPr>
          <w:rFonts w:ascii="Arial" w:hAnsi="Arial" w:cs="Arial"/>
        </w:rPr>
        <w:t>920</w:t>
      </w:r>
      <w:r>
        <w:rPr>
          <w:rFonts w:ascii="Arial" w:hAnsi="Arial" w:cs="Arial"/>
        </w:rPr>
        <w:t xml:space="preserve"> km, Breite </w:t>
      </w:r>
      <w:proofErr w:type="spellStart"/>
      <w:r>
        <w:rPr>
          <w:rFonts w:ascii="Arial" w:hAnsi="Arial" w:cs="Arial"/>
        </w:rPr>
        <w:t>i.M</w:t>
      </w:r>
      <w:proofErr w:type="spellEnd"/>
      <w:r>
        <w:rPr>
          <w:rFonts w:ascii="Arial" w:hAnsi="Arial" w:cs="Arial"/>
        </w:rPr>
        <w:t xml:space="preserve">. ca. </w:t>
      </w:r>
      <w:r w:rsidR="001B61B0">
        <w:rPr>
          <w:rFonts w:ascii="Arial" w:hAnsi="Arial" w:cs="Arial"/>
        </w:rPr>
        <w:t>5,50</w:t>
      </w:r>
      <w:r>
        <w:rPr>
          <w:rFonts w:ascii="Arial" w:hAnsi="Arial" w:cs="Arial"/>
        </w:rPr>
        <w:t xml:space="preserve"> m</w:t>
      </w:r>
    </w:p>
    <w:p w14:paraId="691C82C9" w14:textId="407B8768" w:rsidR="00D02145" w:rsidRDefault="00D02145" w:rsidP="00781450">
      <w:pPr>
        <w:pStyle w:val="Listenabsatz"/>
        <w:numPr>
          <w:ilvl w:val="1"/>
          <w:numId w:val="6"/>
        </w:numPr>
        <w:spacing w:after="0" w:line="240" w:lineRule="auto"/>
        <w:jc w:val="both"/>
        <w:rPr>
          <w:rFonts w:ascii="Arial" w:hAnsi="Arial" w:cs="Arial"/>
        </w:rPr>
      </w:pPr>
      <w:r>
        <w:rPr>
          <w:rFonts w:ascii="Arial" w:hAnsi="Arial" w:cs="Arial"/>
        </w:rPr>
        <w:t xml:space="preserve">K </w:t>
      </w:r>
      <w:r w:rsidR="001B61B0">
        <w:rPr>
          <w:rFonts w:ascii="Arial" w:hAnsi="Arial" w:cs="Arial"/>
        </w:rPr>
        <w:t>13</w:t>
      </w:r>
      <w:r>
        <w:rPr>
          <w:rFonts w:ascii="Arial" w:hAnsi="Arial" w:cs="Arial"/>
        </w:rPr>
        <w:t xml:space="preserve"> AN </w:t>
      </w:r>
      <w:r w:rsidR="001B61B0">
        <w:rPr>
          <w:rFonts w:ascii="Arial" w:hAnsi="Arial" w:cs="Arial"/>
        </w:rPr>
        <w:t xml:space="preserve">10 </w:t>
      </w:r>
      <w:r>
        <w:rPr>
          <w:rFonts w:ascii="Arial" w:hAnsi="Arial" w:cs="Arial"/>
        </w:rPr>
        <w:t xml:space="preserve">Dülmen, L = </w:t>
      </w:r>
      <w:r w:rsidR="00E16E3B">
        <w:rPr>
          <w:rFonts w:ascii="Arial" w:hAnsi="Arial" w:cs="Arial"/>
        </w:rPr>
        <w:t>3</w:t>
      </w:r>
      <w:r>
        <w:rPr>
          <w:rFonts w:ascii="Arial" w:hAnsi="Arial" w:cs="Arial"/>
        </w:rPr>
        <w:t>,</w:t>
      </w:r>
      <w:r w:rsidR="00E16E3B">
        <w:rPr>
          <w:rFonts w:ascii="Arial" w:hAnsi="Arial" w:cs="Arial"/>
        </w:rPr>
        <w:t>0</w:t>
      </w:r>
      <w:r>
        <w:rPr>
          <w:rFonts w:ascii="Arial" w:hAnsi="Arial" w:cs="Arial"/>
        </w:rPr>
        <w:t xml:space="preserve"> km, Breite </w:t>
      </w:r>
      <w:proofErr w:type="spellStart"/>
      <w:r>
        <w:rPr>
          <w:rFonts w:ascii="Arial" w:hAnsi="Arial" w:cs="Arial"/>
        </w:rPr>
        <w:t>i.M</w:t>
      </w:r>
      <w:proofErr w:type="spellEnd"/>
      <w:r>
        <w:rPr>
          <w:rFonts w:ascii="Arial" w:hAnsi="Arial" w:cs="Arial"/>
        </w:rPr>
        <w:t>. ca. 5,</w:t>
      </w:r>
      <w:r w:rsidR="00E16E3B">
        <w:rPr>
          <w:rFonts w:ascii="Arial" w:hAnsi="Arial" w:cs="Arial"/>
        </w:rPr>
        <w:t>50</w:t>
      </w:r>
      <w:r>
        <w:rPr>
          <w:rFonts w:ascii="Arial" w:hAnsi="Arial" w:cs="Arial"/>
        </w:rPr>
        <w:t xml:space="preserve"> m </w:t>
      </w:r>
    </w:p>
    <w:p w14:paraId="05D23842" w14:textId="7BE87CA7" w:rsidR="00D02145" w:rsidRDefault="00D02145" w:rsidP="00781450">
      <w:pPr>
        <w:pStyle w:val="Listenabsatz"/>
        <w:numPr>
          <w:ilvl w:val="1"/>
          <w:numId w:val="6"/>
        </w:numPr>
        <w:spacing w:after="0" w:line="240" w:lineRule="auto"/>
        <w:jc w:val="both"/>
        <w:rPr>
          <w:rFonts w:ascii="Arial" w:hAnsi="Arial" w:cs="Arial"/>
        </w:rPr>
      </w:pPr>
      <w:r>
        <w:rPr>
          <w:rFonts w:ascii="Arial" w:hAnsi="Arial" w:cs="Arial"/>
        </w:rPr>
        <w:t>K 1</w:t>
      </w:r>
      <w:r w:rsidR="00E16E3B">
        <w:rPr>
          <w:rFonts w:ascii="Arial" w:hAnsi="Arial" w:cs="Arial"/>
        </w:rPr>
        <w:t>7</w:t>
      </w:r>
      <w:r>
        <w:rPr>
          <w:rFonts w:ascii="Arial" w:hAnsi="Arial" w:cs="Arial"/>
        </w:rPr>
        <w:t xml:space="preserve"> AN </w:t>
      </w:r>
      <w:r w:rsidR="00E16E3B">
        <w:rPr>
          <w:rFonts w:ascii="Arial" w:hAnsi="Arial" w:cs="Arial"/>
        </w:rPr>
        <w:t>4</w:t>
      </w:r>
      <w:r>
        <w:rPr>
          <w:rFonts w:ascii="Arial" w:hAnsi="Arial" w:cs="Arial"/>
        </w:rPr>
        <w:t xml:space="preserve"> </w:t>
      </w:r>
      <w:r w:rsidR="00E16E3B">
        <w:rPr>
          <w:rFonts w:ascii="Arial" w:hAnsi="Arial" w:cs="Arial"/>
        </w:rPr>
        <w:t>Dülmen</w:t>
      </w:r>
      <w:r>
        <w:rPr>
          <w:rFonts w:ascii="Arial" w:hAnsi="Arial" w:cs="Arial"/>
        </w:rPr>
        <w:t xml:space="preserve">, L = </w:t>
      </w:r>
      <w:r w:rsidR="00E16E3B">
        <w:rPr>
          <w:rFonts w:ascii="Arial" w:hAnsi="Arial" w:cs="Arial"/>
        </w:rPr>
        <w:t>1</w:t>
      </w:r>
      <w:r>
        <w:rPr>
          <w:rFonts w:ascii="Arial" w:hAnsi="Arial" w:cs="Arial"/>
        </w:rPr>
        <w:t>,</w:t>
      </w:r>
      <w:r w:rsidR="00E16E3B">
        <w:rPr>
          <w:rFonts w:ascii="Arial" w:hAnsi="Arial" w:cs="Arial"/>
        </w:rPr>
        <w:t>0</w:t>
      </w:r>
      <w:r>
        <w:rPr>
          <w:rFonts w:ascii="Arial" w:hAnsi="Arial" w:cs="Arial"/>
        </w:rPr>
        <w:t xml:space="preserve"> km, Breite </w:t>
      </w:r>
      <w:proofErr w:type="spellStart"/>
      <w:r>
        <w:rPr>
          <w:rFonts w:ascii="Arial" w:hAnsi="Arial" w:cs="Arial"/>
        </w:rPr>
        <w:t>i.M</w:t>
      </w:r>
      <w:proofErr w:type="spellEnd"/>
      <w:r>
        <w:rPr>
          <w:rFonts w:ascii="Arial" w:hAnsi="Arial" w:cs="Arial"/>
        </w:rPr>
        <w:t xml:space="preserve">. ca. </w:t>
      </w:r>
      <w:r w:rsidR="00E16E3B">
        <w:rPr>
          <w:rFonts w:ascii="Arial" w:hAnsi="Arial" w:cs="Arial"/>
        </w:rPr>
        <w:t>8</w:t>
      </w:r>
      <w:r>
        <w:rPr>
          <w:rFonts w:ascii="Arial" w:hAnsi="Arial" w:cs="Arial"/>
        </w:rPr>
        <w:t>,0 m</w:t>
      </w:r>
    </w:p>
    <w:p w14:paraId="6CC4EA48" w14:textId="0013A112" w:rsidR="00D02145" w:rsidRDefault="00D02145" w:rsidP="00781450">
      <w:pPr>
        <w:pStyle w:val="Listenabsatz"/>
        <w:numPr>
          <w:ilvl w:val="1"/>
          <w:numId w:val="6"/>
        </w:numPr>
        <w:spacing w:after="0" w:line="240" w:lineRule="auto"/>
        <w:jc w:val="both"/>
        <w:rPr>
          <w:rFonts w:ascii="Arial" w:hAnsi="Arial" w:cs="Arial"/>
        </w:rPr>
      </w:pPr>
      <w:r>
        <w:rPr>
          <w:rFonts w:ascii="Arial" w:hAnsi="Arial" w:cs="Arial"/>
        </w:rPr>
        <w:t xml:space="preserve">K </w:t>
      </w:r>
      <w:r w:rsidR="00E16E3B">
        <w:rPr>
          <w:rFonts w:ascii="Arial" w:hAnsi="Arial" w:cs="Arial"/>
        </w:rPr>
        <w:t>23</w:t>
      </w:r>
      <w:r>
        <w:rPr>
          <w:rFonts w:ascii="Arial" w:hAnsi="Arial" w:cs="Arial"/>
        </w:rPr>
        <w:t xml:space="preserve"> AN</w:t>
      </w:r>
      <w:r w:rsidR="00E16E3B">
        <w:rPr>
          <w:rFonts w:ascii="Arial" w:hAnsi="Arial" w:cs="Arial"/>
        </w:rPr>
        <w:t xml:space="preserve"> 3 Senden</w:t>
      </w:r>
      <w:r>
        <w:rPr>
          <w:rFonts w:ascii="Arial" w:hAnsi="Arial" w:cs="Arial"/>
        </w:rPr>
        <w:t xml:space="preserve">, L = </w:t>
      </w:r>
      <w:r w:rsidR="00E16E3B">
        <w:rPr>
          <w:rFonts w:ascii="Arial" w:hAnsi="Arial" w:cs="Arial"/>
        </w:rPr>
        <w:t>5</w:t>
      </w:r>
      <w:r>
        <w:rPr>
          <w:rFonts w:ascii="Arial" w:hAnsi="Arial" w:cs="Arial"/>
        </w:rPr>
        <w:t>,</w:t>
      </w:r>
      <w:r w:rsidR="00E16E3B">
        <w:rPr>
          <w:rFonts w:ascii="Arial" w:hAnsi="Arial" w:cs="Arial"/>
        </w:rPr>
        <w:t>9</w:t>
      </w:r>
      <w:r>
        <w:rPr>
          <w:rFonts w:ascii="Arial" w:hAnsi="Arial" w:cs="Arial"/>
        </w:rPr>
        <w:t xml:space="preserve"> km, Breite </w:t>
      </w:r>
      <w:proofErr w:type="spellStart"/>
      <w:r>
        <w:rPr>
          <w:rFonts w:ascii="Arial" w:hAnsi="Arial" w:cs="Arial"/>
        </w:rPr>
        <w:t>i.M</w:t>
      </w:r>
      <w:proofErr w:type="spellEnd"/>
      <w:r>
        <w:rPr>
          <w:rFonts w:ascii="Arial" w:hAnsi="Arial" w:cs="Arial"/>
        </w:rPr>
        <w:t>. ca. 4,</w:t>
      </w:r>
      <w:r w:rsidR="00E16E3B">
        <w:rPr>
          <w:rFonts w:ascii="Arial" w:hAnsi="Arial" w:cs="Arial"/>
        </w:rPr>
        <w:t>40</w:t>
      </w:r>
      <w:r>
        <w:rPr>
          <w:rFonts w:ascii="Arial" w:hAnsi="Arial" w:cs="Arial"/>
        </w:rPr>
        <w:t xml:space="preserve"> m</w:t>
      </w:r>
    </w:p>
    <w:p w14:paraId="3A25CABF" w14:textId="77777777" w:rsidR="00040350" w:rsidRDefault="00040350" w:rsidP="009C1529">
      <w:pPr>
        <w:spacing w:after="0" w:line="240" w:lineRule="auto"/>
        <w:jc w:val="both"/>
        <w:rPr>
          <w:rFonts w:ascii="Arial" w:hAnsi="Arial" w:cs="Arial"/>
        </w:rPr>
      </w:pPr>
    </w:p>
    <w:p w14:paraId="56DFD5D4" w14:textId="77777777" w:rsidR="00D02145" w:rsidRPr="0010736A" w:rsidRDefault="00D02145" w:rsidP="009C1529">
      <w:pPr>
        <w:spacing w:after="0" w:line="240" w:lineRule="auto"/>
        <w:jc w:val="both"/>
        <w:rPr>
          <w:rFonts w:ascii="Arial" w:hAnsi="Arial" w:cs="Arial"/>
        </w:rPr>
      </w:pPr>
    </w:p>
    <w:sdt>
      <w:sdtPr>
        <w:rPr>
          <w:rFonts w:ascii="Arial" w:hAnsi="Arial" w:cs="Arial"/>
        </w:rPr>
        <w:id w:val="1175534384"/>
        <w:lock w:val="contentLocked"/>
        <w:placeholder>
          <w:docPart w:val="DefaultPlaceholder_1082065158"/>
        </w:placeholder>
        <w:group/>
      </w:sdtPr>
      <w:sdtEndPr/>
      <w:sdtContent>
        <w:sdt>
          <w:sdtPr>
            <w:rPr>
              <w:rFonts w:ascii="Arial" w:hAnsi="Arial" w:cs="Arial"/>
            </w:rPr>
            <w:id w:val="-1783641809"/>
            <w:lock w:val="sdtContentLocked"/>
            <w:placeholder>
              <w:docPart w:val="DefaultPlaceholder_1082065158"/>
            </w:placeholder>
            <w:group/>
          </w:sdtPr>
          <w:sdtEndPr/>
          <w:sdtContent>
            <w:p w14:paraId="641B1B0D" w14:textId="77777777" w:rsidR="003D633C" w:rsidRPr="003D633C" w:rsidRDefault="003D633C" w:rsidP="00041212">
              <w:pPr>
                <w:pStyle w:val="Listenabsatz"/>
                <w:numPr>
                  <w:ilvl w:val="0"/>
                  <w:numId w:val="3"/>
                </w:numPr>
                <w:ind w:left="426" w:hanging="426"/>
                <w:jc w:val="both"/>
                <w:rPr>
                  <w:rFonts w:ascii="Arial" w:hAnsi="Arial" w:cs="Arial"/>
                </w:rPr>
              </w:pPr>
              <w:r w:rsidRPr="003D633C">
                <w:rPr>
                  <w:rFonts w:ascii="Arial" w:hAnsi="Arial" w:cs="Arial"/>
                </w:rPr>
                <w:t>Die straßenverkehrliche Anordnu</w:t>
              </w:r>
              <w:r w:rsidR="00041212">
                <w:rPr>
                  <w:rFonts w:ascii="Arial" w:hAnsi="Arial" w:cs="Arial"/>
                </w:rPr>
                <w:t>ng einzuholen ist Sache des AN.</w:t>
              </w:r>
            </w:p>
            <w:p w14:paraId="7EE9B748" w14:textId="77777777" w:rsidR="003D633C" w:rsidRPr="003D633C" w:rsidRDefault="003D633C" w:rsidP="00041212">
              <w:pPr>
                <w:ind w:left="426"/>
                <w:jc w:val="both"/>
                <w:rPr>
                  <w:rFonts w:ascii="Arial" w:hAnsi="Arial" w:cs="Arial"/>
                </w:rPr>
              </w:pPr>
              <w:r w:rsidRPr="003D633C">
                <w:rPr>
                  <w:rFonts w:ascii="Arial" w:hAnsi="Arial" w:cs="Arial"/>
                </w:rPr>
                <w:t>Die Beschilderung und Absicherung der Baustelle ist entsprechend der ZTV-SA und den RSA unter Einsatz von vollreflektierenden Verkehrszeichen einzurichten und in die entsprechende Position einzurechnen.</w:t>
              </w:r>
            </w:p>
            <w:p w14:paraId="67294522" w14:textId="77777777" w:rsidR="003D633C" w:rsidRPr="003D633C" w:rsidRDefault="003D633C" w:rsidP="00041212">
              <w:pPr>
                <w:ind w:left="426"/>
                <w:jc w:val="both"/>
                <w:rPr>
                  <w:rFonts w:ascii="Arial" w:hAnsi="Arial" w:cs="Arial"/>
                </w:rPr>
              </w:pPr>
              <w:r w:rsidRPr="003D633C">
                <w:rPr>
                  <w:rFonts w:ascii="Arial" w:hAnsi="Arial" w:cs="Arial"/>
                </w:rPr>
                <w:t>Zum Durchkreuzen von Verkehrsschildern dürfen nur variable Abdecksysteme verwendet werden, da es beim Durchkreuzen mit Folienabdeckband zu massiven Beschädigungen der Schilderoberfläche beim Ablösen der Folien kommen kann.</w:t>
              </w:r>
            </w:p>
            <w:p w14:paraId="354E0C7C" w14:textId="77777777" w:rsidR="003D633C" w:rsidRPr="003D633C" w:rsidRDefault="003D633C" w:rsidP="00041212">
              <w:pPr>
                <w:ind w:left="426"/>
                <w:jc w:val="both"/>
                <w:rPr>
                  <w:rFonts w:ascii="Arial" w:hAnsi="Arial" w:cs="Arial"/>
                </w:rPr>
              </w:pPr>
              <w:r w:rsidRPr="003D633C">
                <w:rPr>
                  <w:rFonts w:ascii="Arial" w:hAnsi="Arial" w:cs="Arial"/>
                </w:rPr>
                <w:t xml:space="preserve">Die Kosten für das Vorhalten und den Betrieb sowie das laufende Umsetzen der erforderlichen Absperreinrichtungen, Verkehrssicherungsanlagen und Beschilderung der Baustelle sind vom AN zu tragen und in den Pauschalpreis der entsprechenden Position einzurechnen. Hierzu gehört auch die Beseitigung oder Unkenntlichmachung von vorhandenen Fahrbahnmarkierungen, wenn Sie bei der durch den Bauablauf bedingten Veränderung der Verkehrsführung zu Fehlverhalten der Verkehrsteilnehmer Anlass geben. </w:t>
              </w:r>
            </w:p>
            <w:p w14:paraId="0E41B071" w14:textId="77777777" w:rsidR="003D633C" w:rsidRPr="003D633C" w:rsidRDefault="003D633C" w:rsidP="00041212">
              <w:pPr>
                <w:ind w:left="426"/>
                <w:jc w:val="both"/>
                <w:rPr>
                  <w:rFonts w:ascii="Arial" w:hAnsi="Arial" w:cs="Arial"/>
                </w:rPr>
              </w:pPr>
              <w:r w:rsidRPr="003D633C">
                <w:rPr>
                  <w:rFonts w:ascii="Arial" w:hAnsi="Arial" w:cs="Arial"/>
                </w:rPr>
                <w:t xml:space="preserve">Bei Änderung der Verkehrsführung innerhalb der Baustrecke sind die Kosten für Umleitungsbeschilderung ebenfalls vom AN zu tragen und in der betreffenden Position einzurechnen. </w:t>
              </w:r>
            </w:p>
            <w:p w14:paraId="091A85CB" w14:textId="77777777" w:rsidR="003D633C" w:rsidRPr="003D633C" w:rsidRDefault="003D633C" w:rsidP="00041212">
              <w:pPr>
                <w:ind w:left="426"/>
                <w:jc w:val="both"/>
                <w:rPr>
                  <w:rFonts w:ascii="Arial" w:hAnsi="Arial" w:cs="Arial"/>
                </w:rPr>
              </w:pPr>
              <w:r w:rsidRPr="003D633C">
                <w:rPr>
                  <w:rFonts w:ascii="Arial" w:hAnsi="Arial" w:cs="Arial"/>
                </w:rPr>
                <w:t>Der für die Sicherungsarbeiten benannte Verantwortliche muss die deutschen Straßenverkehrsvorschriften und die im Bereich von Arbeitsstellen erforderlichen Aufgaben der Verkehrsführung, der Beschilderung, der Markierung, der Absicherung sowie der Beleuchtung beherrschen und entsprechend der ZTV-SA herstellen und beurteilen können sowie der deutschen Sprache mächtig sein.</w:t>
              </w:r>
            </w:p>
            <w:p w14:paraId="598B6CB3" w14:textId="77777777" w:rsidR="003D633C" w:rsidRPr="003D633C" w:rsidRDefault="003D633C" w:rsidP="00041212">
              <w:pPr>
                <w:ind w:left="426"/>
                <w:jc w:val="both"/>
                <w:rPr>
                  <w:rFonts w:ascii="Arial" w:hAnsi="Arial" w:cs="Arial"/>
                </w:rPr>
              </w:pPr>
              <w:r w:rsidRPr="003D633C">
                <w:rPr>
                  <w:rFonts w:ascii="Arial" w:hAnsi="Arial" w:cs="Arial"/>
                </w:rPr>
                <w:t>Transportfahrzeuge dürfen nur das zulässige Gesamtgewicht entsprechend § 34 StVZO aufweisen. Entsprechende Kontrollen behält sich der Auftraggeber vor. Bei Feststellung einer Überschreitung des zulässigen Gesamtgewichtes bei Transportfahrzeugen erfolgt eine Anzeige bei der zuständigen Behörde.</w:t>
              </w:r>
            </w:p>
            <w:p w14:paraId="54D5F275" w14:textId="77777777" w:rsidR="003D633C" w:rsidRDefault="003D633C" w:rsidP="00041212">
              <w:pPr>
                <w:pStyle w:val="Listenabsatz"/>
                <w:numPr>
                  <w:ilvl w:val="0"/>
                  <w:numId w:val="3"/>
                </w:numPr>
                <w:ind w:left="426" w:hanging="426"/>
                <w:jc w:val="both"/>
                <w:rPr>
                  <w:rFonts w:ascii="Arial" w:hAnsi="Arial" w:cs="Arial"/>
                </w:rPr>
              </w:pPr>
              <w:r w:rsidRPr="00041212">
                <w:rPr>
                  <w:rFonts w:ascii="Arial" w:hAnsi="Arial" w:cs="Arial"/>
                </w:rPr>
                <w:t>Der Auftraggeber geht davon aus, dass für das vorgesehene Bauvorhaben kein Koordinator gem. der BaustellV. bestellt werden muss. Sofern dennoch vom Auftragnehmer Beschäftigte mehrerer Arbeitgeber eingesetzt werden – hierzu zählt auch der Einsatz von Nachunternehmern ohne Beschäftigte - hat der Auftragnehmer auf seine Kosten gem. § 3 der BaustellV. einen Koordinator zu bestellen. Der für den Sicherheits- und Gesundheitsschutz verantwortliche Koordinator ist dem Kreis Coesfeld 2 Wochen vor Einrichtung der Baustelle zu benennen</w:t>
              </w:r>
            </w:p>
            <w:p w14:paraId="2EC34DC5" w14:textId="77777777" w:rsidR="00CA52B8" w:rsidRDefault="00CA52B8" w:rsidP="00041212">
              <w:pPr>
                <w:pStyle w:val="Listenabsatz"/>
                <w:ind w:left="426"/>
                <w:jc w:val="both"/>
                <w:rPr>
                  <w:rFonts w:ascii="Arial" w:hAnsi="Arial" w:cs="Arial"/>
                </w:rPr>
              </w:pPr>
            </w:p>
            <w:p w14:paraId="158B3B30" w14:textId="77777777" w:rsidR="00041212" w:rsidRPr="00CA52B8" w:rsidRDefault="00041212" w:rsidP="00CA52B8"/>
            <w:p w14:paraId="196A51E5" w14:textId="77777777" w:rsidR="003D633C" w:rsidRDefault="003D633C" w:rsidP="00041212">
              <w:pPr>
                <w:pStyle w:val="Listenabsatz"/>
                <w:numPr>
                  <w:ilvl w:val="0"/>
                  <w:numId w:val="3"/>
                </w:numPr>
                <w:ind w:left="426" w:hanging="426"/>
                <w:jc w:val="both"/>
                <w:rPr>
                  <w:rFonts w:ascii="Arial" w:hAnsi="Arial" w:cs="Arial"/>
                </w:rPr>
              </w:pPr>
              <w:r w:rsidRPr="003D633C">
                <w:rPr>
                  <w:rFonts w:ascii="Arial" w:hAnsi="Arial" w:cs="Arial"/>
                </w:rPr>
                <w:t>Soweit Wege und Straßen durch den Auftragnehmer in Mitleidenschaft gezogen werden, sind diese im ursprünglichen Zustand in Abstimmung mit dem jeweiligen Baulastträger auf Kosten des Auftragnehmers wieder herzustellen.</w:t>
              </w:r>
            </w:p>
          </w:sdtContent>
        </w:sdt>
      </w:sdtContent>
    </w:sdt>
    <w:p w14:paraId="1ED46D2C" w14:textId="77777777" w:rsidR="00422466" w:rsidRPr="00041212" w:rsidRDefault="00422466" w:rsidP="00041212">
      <w:pPr>
        <w:pStyle w:val="Listenabsatz"/>
        <w:ind w:left="426"/>
        <w:jc w:val="both"/>
        <w:rPr>
          <w:rFonts w:ascii="Arial" w:hAnsi="Arial" w:cs="Arial"/>
        </w:rPr>
      </w:pPr>
    </w:p>
    <w:sdt>
      <w:sdtPr>
        <w:rPr>
          <w:rFonts w:ascii="Arial" w:hAnsi="Arial" w:cs="Arial"/>
        </w:rPr>
        <w:id w:val="-1777097149"/>
        <w:lock w:val="sdtContentLocked"/>
        <w:placeholder>
          <w:docPart w:val="DefaultPlaceholder_1082065158"/>
        </w:placeholder>
        <w:group/>
      </w:sdtPr>
      <w:sdtEndPr/>
      <w:sdtContent>
        <w:p w14:paraId="566D068D" w14:textId="77777777" w:rsidR="000C7F27" w:rsidRDefault="000C7F27" w:rsidP="000C7F27">
          <w:pPr>
            <w:pStyle w:val="Listenabsatz"/>
            <w:numPr>
              <w:ilvl w:val="0"/>
              <w:numId w:val="3"/>
            </w:numPr>
            <w:ind w:left="426" w:hanging="426"/>
            <w:jc w:val="both"/>
            <w:rPr>
              <w:rFonts w:ascii="Arial" w:hAnsi="Arial" w:cs="Arial"/>
            </w:rPr>
          </w:pPr>
          <w:r w:rsidRPr="003D633C">
            <w:rPr>
              <w:rFonts w:ascii="Arial" w:hAnsi="Arial" w:cs="Arial"/>
            </w:rPr>
            <w:t>Die Ausführungspläne und Achsberechnungen werden dem Auftragnehmer nach Auftragserteilung in einfacher Ausfertigung übergeben.</w:t>
          </w:r>
          <w:r>
            <w:rPr>
              <w:rFonts w:ascii="Arial" w:hAnsi="Arial" w:cs="Arial"/>
            </w:rPr>
            <w:t xml:space="preserve"> </w:t>
          </w:r>
          <w:r w:rsidRPr="003D633C">
            <w:rPr>
              <w:rFonts w:ascii="Arial" w:hAnsi="Arial" w:cs="Arial"/>
            </w:rPr>
            <w:t>Mehrausfertigungen werden gegen Selbstkostenerstattung zu Verfügung gestellt.</w:t>
          </w:r>
          <w:r>
            <w:rPr>
              <w:rFonts w:ascii="Arial" w:hAnsi="Arial" w:cs="Arial"/>
            </w:rPr>
            <w:t xml:space="preserve"> Bei Deckenerneuerungen sind  die erforderlichen Urgeländeaufnahmen, Ausführungsplanungen, Ausführungspläne, Achsberechnungen sowie Gradiente und Deckenbuch entsprechend der gültigen RAL und RAST 06 durch den AN in Einvernehmen mit der Abteilung 66 - Straßenbau zu erstellen. Nicht ausreichende Gefälle sind gemäß gültiger RAL herzustellen. Regelneigung mindestens 2,0 %. Auf vorhandene Unterlage werden ca. 12 cm aufgebaut. Die Linienführung bleibt unverändert. </w:t>
          </w:r>
        </w:p>
        <w:p w14:paraId="2FA139B2" w14:textId="77777777" w:rsidR="00041212" w:rsidRPr="00041212" w:rsidRDefault="00041212" w:rsidP="00041212">
          <w:pPr>
            <w:pStyle w:val="Listenabsatz"/>
            <w:ind w:left="426"/>
            <w:jc w:val="both"/>
            <w:rPr>
              <w:rFonts w:ascii="Arial" w:hAnsi="Arial" w:cs="Arial"/>
            </w:rPr>
          </w:pPr>
        </w:p>
        <w:p w14:paraId="572F3FC6" w14:textId="77777777" w:rsidR="003D633C" w:rsidRDefault="003D633C" w:rsidP="00041212">
          <w:pPr>
            <w:pStyle w:val="Listenabsatz"/>
            <w:numPr>
              <w:ilvl w:val="0"/>
              <w:numId w:val="3"/>
            </w:numPr>
            <w:ind w:left="426" w:hanging="426"/>
            <w:jc w:val="both"/>
            <w:rPr>
              <w:rFonts w:ascii="Arial" w:hAnsi="Arial" w:cs="Arial"/>
            </w:rPr>
          </w:pPr>
          <w:r w:rsidRPr="003D633C">
            <w:rPr>
              <w:rFonts w:ascii="Arial" w:hAnsi="Arial" w:cs="Arial"/>
            </w:rPr>
            <w:t>Die Achsabsteckung, das Aufnehmen und Zeichnen der Ur- und Ausbauprofile ist Sache des AN und hat im Einvernehmen mit dem Straßenbauamt zu erfolgen. Die Vergütung hierfür ist in die Einheitspreise einzurechnen</w:t>
          </w:r>
        </w:p>
        <w:p w14:paraId="4AAE6E2A" w14:textId="77777777" w:rsidR="00041212" w:rsidRPr="00041212" w:rsidRDefault="00041212" w:rsidP="00041212">
          <w:pPr>
            <w:pStyle w:val="Listenabsatz"/>
            <w:ind w:left="426"/>
            <w:jc w:val="both"/>
            <w:rPr>
              <w:rFonts w:ascii="Arial" w:hAnsi="Arial" w:cs="Arial"/>
            </w:rPr>
          </w:pPr>
        </w:p>
        <w:p w14:paraId="20C515EE" w14:textId="77777777" w:rsidR="003D633C" w:rsidRDefault="003D633C" w:rsidP="00041212">
          <w:pPr>
            <w:pStyle w:val="Listenabsatz"/>
            <w:numPr>
              <w:ilvl w:val="0"/>
              <w:numId w:val="3"/>
            </w:numPr>
            <w:ind w:left="426" w:hanging="426"/>
            <w:jc w:val="both"/>
            <w:rPr>
              <w:rFonts w:ascii="Arial" w:hAnsi="Arial" w:cs="Arial"/>
            </w:rPr>
          </w:pPr>
          <w:r w:rsidRPr="003D633C">
            <w:rPr>
              <w:rFonts w:ascii="Arial" w:hAnsi="Arial" w:cs="Arial"/>
            </w:rPr>
            <w:t>Die Aufmaße sind manuell zu erstellen. Elektronisch erfasste bzw. gemessene Daten werden nur nach vorheriger Abstimmung mit dem AG anerkannt. Die Aufmaßarbeiten sind in Anwesenheit eines Vertreters des Auftraggebers durchzuführen und zu protokollieren. Dem Auftraggeber sind die erfassten Daten unmittelbar nach Durchführung der Vermessungsarbei</w:t>
          </w:r>
          <w:r w:rsidR="000C7F27">
            <w:rPr>
              <w:rFonts w:ascii="Arial" w:hAnsi="Arial" w:cs="Arial"/>
            </w:rPr>
            <w:t xml:space="preserve">ten im Original </w:t>
          </w:r>
          <w:r w:rsidR="00041212">
            <w:rPr>
              <w:rFonts w:ascii="Arial" w:hAnsi="Arial" w:cs="Arial"/>
            </w:rPr>
            <w:t>auszuhändigen.</w:t>
          </w:r>
        </w:p>
      </w:sdtContent>
    </w:sdt>
    <w:p w14:paraId="43E708AD" w14:textId="77777777" w:rsidR="00041212" w:rsidRPr="00041212" w:rsidRDefault="00041212" w:rsidP="00041212">
      <w:pPr>
        <w:pStyle w:val="Listenabsatz"/>
        <w:ind w:left="426"/>
        <w:jc w:val="both"/>
        <w:rPr>
          <w:rFonts w:ascii="Arial" w:hAnsi="Arial" w:cs="Arial"/>
        </w:rPr>
      </w:pPr>
    </w:p>
    <w:p w14:paraId="1144BE0D" w14:textId="77777777" w:rsidR="00DD6BC1" w:rsidRPr="00DD6BC1" w:rsidRDefault="003D633C" w:rsidP="00DD6BC1">
      <w:pPr>
        <w:pStyle w:val="Listenabsatz"/>
        <w:numPr>
          <w:ilvl w:val="0"/>
          <w:numId w:val="3"/>
        </w:numPr>
        <w:ind w:left="426" w:hanging="426"/>
        <w:jc w:val="both"/>
        <w:rPr>
          <w:rFonts w:ascii="Arial" w:hAnsi="Arial" w:cs="Arial"/>
        </w:rPr>
      </w:pPr>
      <w:r w:rsidRPr="003D633C">
        <w:rPr>
          <w:rFonts w:ascii="Arial" w:hAnsi="Arial" w:cs="Arial"/>
        </w:rPr>
        <w:t xml:space="preserve">Soweit bekannt ist, verlaufen im Straßenkörper </w:t>
      </w:r>
      <w:r w:rsidR="00041212">
        <w:rPr>
          <w:rFonts w:ascii="Arial" w:hAnsi="Arial" w:cs="Arial"/>
        </w:rPr>
        <w:t>Versorgungsleitungen</w:t>
      </w:r>
      <w:r w:rsidRPr="003D633C">
        <w:rPr>
          <w:rFonts w:ascii="Arial" w:hAnsi="Arial" w:cs="Arial"/>
        </w:rPr>
        <w:t>.</w:t>
      </w:r>
    </w:p>
    <w:p w14:paraId="153BAD1A" w14:textId="77777777" w:rsidR="00041212" w:rsidRDefault="003D633C" w:rsidP="00041212">
      <w:pPr>
        <w:pStyle w:val="Listenabsatz"/>
        <w:ind w:left="426"/>
        <w:jc w:val="both"/>
        <w:rPr>
          <w:rFonts w:ascii="Arial" w:hAnsi="Arial" w:cs="Arial"/>
        </w:rPr>
      </w:pPr>
      <w:r w:rsidRPr="00041212">
        <w:rPr>
          <w:rFonts w:ascii="Arial" w:hAnsi="Arial" w:cs="Arial"/>
        </w:rPr>
        <w:t>Der Schutz der vorhandenen und neu zu verlegenden Anlagen der Versorgungsträger gehört zur allgemeinen Verkehrssitte und wird nicht besonders vergütet. Eine Umlegung bzw. Neuverlegung von Leitungen und Anlagen ist Angel</w:t>
      </w:r>
      <w:r w:rsidR="000C7F27">
        <w:rPr>
          <w:rFonts w:ascii="Arial" w:hAnsi="Arial" w:cs="Arial"/>
        </w:rPr>
        <w:t>egenheit der Versorgungsuntern</w:t>
      </w:r>
      <w:r w:rsidR="009D0095">
        <w:rPr>
          <w:rFonts w:ascii="Arial" w:hAnsi="Arial" w:cs="Arial"/>
        </w:rPr>
        <w:t>eh</w:t>
      </w:r>
      <w:r w:rsidRPr="00041212">
        <w:rPr>
          <w:rFonts w:ascii="Arial" w:hAnsi="Arial" w:cs="Arial"/>
        </w:rPr>
        <w:t>men. Der AN hat den Einsatz von Fremdunternehmern für die Umlegung bzw. Neuverlegung von Versorgungsleitungen in der Baumaßnah</w:t>
      </w:r>
      <w:r w:rsidR="00041212">
        <w:rPr>
          <w:rFonts w:ascii="Arial" w:hAnsi="Arial" w:cs="Arial"/>
        </w:rPr>
        <w:t>me entschädigungslos zu dulden.</w:t>
      </w:r>
    </w:p>
    <w:p w14:paraId="2D6C70A6" w14:textId="77777777" w:rsidR="00041212" w:rsidRDefault="00041212" w:rsidP="00041212">
      <w:pPr>
        <w:pStyle w:val="Listenabsatz"/>
        <w:ind w:left="426"/>
        <w:jc w:val="both"/>
        <w:rPr>
          <w:rFonts w:ascii="Arial" w:hAnsi="Arial" w:cs="Arial"/>
        </w:rPr>
      </w:pPr>
    </w:p>
    <w:sdt>
      <w:sdtPr>
        <w:rPr>
          <w:rFonts w:ascii="Arial" w:hAnsi="Arial" w:cs="Arial"/>
        </w:rPr>
        <w:id w:val="464162577"/>
        <w:lock w:val="sdtContentLocked"/>
        <w:placeholder>
          <w:docPart w:val="DefaultPlaceholder_1082065158"/>
        </w:placeholder>
        <w:group/>
      </w:sdtPr>
      <w:sdtEndPr/>
      <w:sdtContent>
        <w:p w14:paraId="342A5E9B" w14:textId="77777777" w:rsidR="00041212" w:rsidRDefault="003D633C" w:rsidP="003D633C">
          <w:pPr>
            <w:pStyle w:val="Listenabsatz"/>
            <w:numPr>
              <w:ilvl w:val="0"/>
              <w:numId w:val="3"/>
            </w:numPr>
            <w:ind w:left="426" w:hanging="426"/>
            <w:jc w:val="both"/>
            <w:rPr>
              <w:rFonts w:ascii="Arial" w:hAnsi="Arial" w:cs="Arial"/>
            </w:rPr>
          </w:pPr>
          <w:r w:rsidRPr="003D633C">
            <w:rPr>
              <w:rFonts w:ascii="Arial" w:hAnsi="Arial" w:cs="Arial"/>
            </w:rPr>
            <w:t>Vom Auftraggeber werden keine Zufahrten zur Baustelle zur Verfügung gestellt. Die Beschaffung und Herrichtung von Zufahrtsmöglichkeiten zur Baustelle, die Überlassung zur Mitbenutzung durch sämtliche, an der Maßnahme beteiligten Firmen, sowie die Reinigung und Wiederinstandsetzung aller als Zufahrt benutzten Straßen und Wege sind Sache des Auftragnehmers. Die Kosten hierfür sind in den Pauschalpreis der entsprechenden Position einzurechnen. Ents</w:t>
          </w:r>
          <w:r w:rsidR="00041212">
            <w:rPr>
              <w:rFonts w:ascii="Arial" w:hAnsi="Arial" w:cs="Arial"/>
            </w:rPr>
            <w:t>prechende Regelungen zur Kosten</w:t>
          </w:r>
          <w:r w:rsidRPr="003D633C">
            <w:rPr>
              <w:rFonts w:ascii="Arial" w:hAnsi="Arial" w:cs="Arial"/>
            </w:rPr>
            <w:t>beteiligung für die Mitbenutzung obliegen dem AN.</w:t>
          </w:r>
        </w:p>
        <w:p w14:paraId="587C3307" w14:textId="77777777" w:rsidR="00041212" w:rsidRDefault="00041212" w:rsidP="00041212">
          <w:pPr>
            <w:pStyle w:val="Listenabsatz"/>
            <w:ind w:left="426"/>
            <w:jc w:val="both"/>
            <w:rPr>
              <w:rFonts w:ascii="Arial" w:hAnsi="Arial" w:cs="Arial"/>
            </w:rPr>
          </w:pPr>
        </w:p>
        <w:p w14:paraId="2FBE81C4" w14:textId="77777777" w:rsidR="00041212" w:rsidRDefault="003D633C" w:rsidP="003D633C">
          <w:pPr>
            <w:pStyle w:val="Listenabsatz"/>
            <w:numPr>
              <w:ilvl w:val="0"/>
              <w:numId w:val="3"/>
            </w:numPr>
            <w:ind w:left="426" w:hanging="426"/>
            <w:jc w:val="both"/>
            <w:rPr>
              <w:rFonts w:ascii="Arial" w:hAnsi="Arial" w:cs="Arial"/>
            </w:rPr>
          </w:pPr>
          <w:r w:rsidRPr="00041212">
            <w:rPr>
              <w:rFonts w:ascii="Arial" w:hAnsi="Arial" w:cs="Arial"/>
            </w:rPr>
            <w:t>Vom Auftraggeber können keine Anschlussmöglichkeiten an Ver- und Entsorgungsleitungen zur Verfügung gestellt werden. Die Ver- und Entsorgung der Baustelle ist Sache des Auftragnehmers. Plätze für die Baustelleneinrichtung und Lagerplätze werden vom Auftraggeber nicht zur Verfügung gestellt. Materialtransporte, Zwischenlagerungen und Förderwege innerhalb der Baustelle und zwischen den Lagerplätzen w</w:t>
          </w:r>
          <w:r w:rsidR="00041212">
            <w:rPr>
              <w:rFonts w:ascii="Arial" w:hAnsi="Arial" w:cs="Arial"/>
            </w:rPr>
            <w:t>erden nicht besonders vergütet.</w:t>
          </w:r>
        </w:p>
        <w:p w14:paraId="3A84F719" w14:textId="77777777" w:rsidR="00041212" w:rsidRDefault="00041212" w:rsidP="00041212">
          <w:pPr>
            <w:pStyle w:val="Listenabsatz"/>
            <w:ind w:left="426"/>
            <w:jc w:val="both"/>
            <w:rPr>
              <w:rFonts w:ascii="Arial" w:hAnsi="Arial" w:cs="Arial"/>
            </w:rPr>
          </w:pPr>
        </w:p>
        <w:p w14:paraId="1A084B15" w14:textId="77777777" w:rsidR="00041212" w:rsidRDefault="003D633C" w:rsidP="003D633C">
          <w:pPr>
            <w:pStyle w:val="Listenabsatz"/>
            <w:numPr>
              <w:ilvl w:val="0"/>
              <w:numId w:val="3"/>
            </w:numPr>
            <w:ind w:left="426" w:hanging="426"/>
            <w:jc w:val="both"/>
            <w:rPr>
              <w:rFonts w:ascii="Arial" w:hAnsi="Arial" w:cs="Arial"/>
            </w:rPr>
          </w:pPr>
          <w:r w:rsidRPr="00041212">
            <w:rPr>
              <w:rFonts w:ascii="Arial" w:hAnsi="Arial" w:cs="Arial"/>
            </w:rPr>
            <w:t>Die durch die Baumaßnahme ggf. beeinträchtigte Oberflächenentwässerung des anschließenden Geländes ist während der Bauarbeiten im Einvernehmen mit den betreffenden Interessenten und den zuständigen Behörden durch geeignete Maßnahmen aufrecht zu erhalten, so dass eine einwandfreie Abführung des anfallenden Tagwassers im Bereich der Baustelle gewährleistet ist. Diese Leistungen gehören zu den Nebenleistungen und we</w:t>
          </w:r>
          <w:r w:rsidR="00041212">
            <w:rPr>
              <w:rFonts w:ascii="Arial" w:hAnsi="Arial" w:cs="Arial"/>
            </w:rPr>
            <w:t>rden nicht gesondert berechnet.</w:t>
          </w:r>
        </w:p>
        <w:p w14:paraId="4B3525AB" w14:textId="77777777" w:rsidR="00041212" w:rsidRDefault="00041212" w:rsidP="00041212">
          <w:pPr>
            <w:pStyle w:val="Listenabsatz"/>
            <w:ind w:left="426"/>
            <w:jc w:val="both"/>
            <w:rPr>
              <w:rFonts w:ascii="Arial" w:hAnsi="Arial" w:cs="Arial"/>
            </w:rPr>
          </w:pPr>
        </w:p>
        <w:p w14:paraId="50F2DE12" w14:textId="77777777" w:rsidR="00041212" w:rsidRDefault="003D633C" w:rsidP="003D633C">
          <w:pPr>
            <w:pStyle w:val="Listenabsatz"/>
            <w:numPr>
              <w:ilvl w:val="0"/>
              <w:numId w:val="3"/>
            </w:numPr>
            <w:ind w:left="426" w:hanging="426"/>
            <w:jc w:val="both"/>
            <w:rPr>
              <w:rFonts w:ascii="Arial" w:hAnsi="Arial" w:cs="Arial"/>
            </w:rPr>
          </w:pPr>
          <w:r w:rsidRPr="00041212">
            <w:rPr>
              <w:rFonts w:ascii="Arial" w:hAnsi="Arial" w:cs="Arial"/>
            </w:rPr>
            <w:t>Vom AN beabsichtigte Auffüllungen, Aufschüttungen und Verfüllungen sowie Befestigungen von Bodensenken, tiefliegenden Wiesen, Weideflächen, Gräben, alten Tümpeln, Waldwegen und sonstigen naturbelassenen Flächen mit Bodenaushub, Bauschutt und Straßenaufbruchmaterial außerhalb einer zugelassenen Abfallentsorgungsanlage sind vor Bauausführung mit der zuständigen Unteren Landschaftsbehörde bzw. mit der Unteren Abfallwirtschaftsbehörde des jeweiligen Kreises abzustimmen.</w:t>
          </w:r>
        </w:p>
        <w:p w14:paraId="103E4749" w14:textId="77777777" w:rsidR="008C6B07" w:rsidRDefault="008C6B07" w:rsidP="008C6B07">
          <w:pPr>
            <w:pStyle w:val="Listenabsatz"/>
            <w:ind w:left="426"/>
            <w:jc w:val="both"/>
            <w:rPr>
              <w:rFonts w:ascii="Arial" w:hAnsi="Arial" w:cs="Arial"/>
            </w:rPr>
          </w:pPr>
        </w:p>
        <w:p w14:paraId="404180D4" w14:textId="77777777" w:rsidR="008C6B07" w:rsidRDefault="008C6B07" w:rsidP="008C6B07">
          <w:pPr>
            <w:pStyle w:val="Listenabsatz"/>
            <w:numPr>
              <w:ilvl w:val="0"/>
              <w:numId w:val="3"/>
            </w:numPr>
            <w:spacing w:after="120"/>
            <w:ind w:left="425" w:hanging="425"/>
            <w:contextualSpacing w:val="0"/>
            <w:jc w:val="both"/>
            <w:rPr>
              <w:rFonts w:ascii="Arial" w:hAnsi="Arial" w:cs="Arial"/>
            </w:rPr>
          </w:pPr>
          <w:r w:rsidRPr="008C6B07">
            <w:rPr>
              <w:rFonts w:ascii="Arial" w:hAnsi="Arial" w:cs="Arial"/>
            </w:rPr>
            <w:t>Einordnung von Boden und Felsarten in Homogenbereiche für Erdarbeiten nach DIN 18300</w:t>
          </w:r>
        </w:p>
        <w:p w14:paraId="2BF81F88" w14:textId="77777777" w:rsidR="008C6B07" w:rsidRPr="008C6B07" w:rsidRDefault="008C6B07" w:rsidP="008C6B07">
          <w:pPr>
            <w:pStyle w:val="Listenabsatz"/>
            <w:numPr>
              <w:ilvl w:val="0"/>
              <w:numId w:val="5"/>
            </w:numPr>
            <w:tabs>
              <w:tab w:val="left" w:pos="2127"/>
            </w:tabs>
            <w:spacing w:before="120" w:after="0" w:line="360" w:lineRule="auto"/>
            <w:ind w:left="850" w:hanging="215"/>
            <w:rPr>
              <w:rFonts w:ascii="Arial" w:hAnsi="Arial" w:cs="Arial"/>
              <w:u w:val="single"/>
            </w:rPr>
          </w:pPr>
          <w:r w:rsidRPr="008C6B07">
            <w:rPr>
              <w:rFonts w:ascii="Arial" w:hAnsi="Arial" w:cs="Arial"/>
              <w:u w:val="single"/>
            </w:rPr>
            <w:t>Homogenbereich 1</w:t>
          </w:r>
        </w:p>
        <w:p w14:paraId="68DE6810" w14:textId="77777777" w:rsidR="008C6B07" w:rsidRPr="008C6B07" w:rsidRDefault="008C6B07" w:rsidP="008C6B07">
          <w:pPr>
            <w:pStyle w:val="Listenabsatz"/>
            <w:spacing w:after="120"/>
            <w:ind w:left="850"/>
            <w:contextualSpacing w:val="0"/>
            <w:jc w:val="both"/>
            <w:rPr>
              <w:rFonts w:ascii="Arial" w:hAnsi="Arial" w:cs="Arial"/>
            </w:rPr>
          </w:pPr>
          <w:r w:rsidRPr="008C6B07">
            <w:rPr>
              <w:rFonts w:ascii="Arial" w:hAnsi="Arial" w:cs="Arial"/>
            </w:rPr>
            <w:t>Nichtbindige bis schwachbindige Sande, Kiese und Sand-kies-Gemische mit 15 % Beimengungen an Schluff und Ton (Korngröße kleiner als 0,06 mm) und mit höchstens 30 % Steinen von über 63 mm Korngröße bis zu 0,01 cbm Rauminhalt Organische Bodenarten mit geringem Wassergehalt, z.B feste Torfe.</w:t>
          </w:r>
        </w:p>
        <w:p w14:paraId="374B2ED7" w14:textId="77777777" w:rsidR="008C6B07" w:rsidRPr="008C6B07" w:rsidRDefault="008C6B07" w:rsidP="008C6B07">
          <w:pPr>
            <w:pStyle w:val="Listenabsatz"/>
            <w:spacing w:after="120"/>
            <w:ind w:left="850"/>
            <w:contextualSpacing w:val="0"/>
            <w:jc w:val="both"/>
            <w:rPr>
              <w:rFonts w:ascii="Arial" w:hAnsi="Arial" w:cs="Arial"/>
            </w:rPr>
          </w:pPr>
          <w:r w:rsidRPr="008C6B07">
            <w:rPr>
              <w:rFonts w:ascii="Arial" w:hAnsi="Arial" w:cs="Arial"/>
            </w:rPr>
            <w:t>Gemische von Sand, Kies, Schluff und Ton mit mehr als 15 % der Korngröße kleiner als 0,06 mm.</w:t>
          </w:r>
        </w:p>
        <w:p w14:paraId="5A50BFB3" w14:textId="77777777" w:rsidR="008C6B07" w:rsidRPr="008C6B07" w:rsidRDefault="008C6B07" w:rsidP="008C6B07">
          <w:pPr>
            <w:pStyle w:val="Listenabsatz"/>
            <w:spacing w:after="120"/>
            <w:ind w:left="850"/>
            <w:contextualSpacing w:val="0"/>
            <w:jc w:val="both"/>
            <w:rPr>
              <w:rFonts w:ascii="Arial" w:hAnsi="Arial" w:cs="Arial"/>
            </w:rPr>
          </w:pPr>
          <w:r w:rsidRPr="008C6B07">
            <w:rPr>
              <w:rFonts w:ascii="Arial" w:hAnsi="Arial" w:cs="Arial"/>
            </w:rPr>
            <w:t>Bindige Bodenarten von leichter bis mittlerer Plastizität, die je nach Wassergehalt weich bis halbfest sind und die höchstens 30 % Steine von über 63 mm Korngröße bis zu 0,01 cbm Rauminhalt enthalten.</w:t>
          </w:r>
        </w:p>
        <w:p w14:paraId="66D72ECF" w14:textId="77777777" w:rsidR="008C6B07" w:rsidRPr="008C6B07" w:rsidRDefault="008C6B07" w:rsidP="008C6B07">
          <w:pPr>
            <w:pStyle w:val="Listenabsatz"/>
            <w:spacing w:after="120"/>
            <w:ind w:left="850"/>
            <w:contextualSpacing w:val="0"/>
            <w:jc w:val="both"/>
            <w:rPr>
              <w:rFonts w:ascii="Arial" w:hAnsi="Arial" w:cs="Arial"/>
            </w:rPr>
          </w:pPr>
          <w:r w:rsidRPr="008C6B07">
            <w:rPr>
              <w:rFonts w:ascii="Arial" w:hAnsi="Arial" w:cs="Arial"/>
            </w:rPr>
            <w:t>Vorgenannte Bodenarten, jedoch mit mehr als 30 % Steinen von über 63 mm Korngöße bis zu 0,01 cbm Rauminhalt.</w:t>
          </w:r>
        </w:p>
        <w:p w14:paraId="682BB3E8" w14:textId="77777777" w:rsidR="008C6B07" w:rsidRPr="008C6B07" w:rsidRDefault="008C6B07" w:rsidP="008C6B07">
          <w:pPr>
            <w:pStyle w:val="Listenabsatz"/>
            <w:spacing w:after="240"/>
            <w:ind w:left="851"/>
            <w:contextualSpacing w:val="0"/>
            <w:jc w:val="both"/>
            <w:rPr>
              <w:rFonts w:ascii="Arial" w:hAnsi="Arial" w:cs="Arial"/>
            </w:rPr>
          </w:pPr>
          <w:r w:rsidRPr="008C6B07">
            <w:rPr>
              <w:rFonts w:ascii="Arial" w:hAnsi="Arial" w:cs="Arial"/>
            </w:rPr>
            <w:t>Nichtbindige und bindige Bodenarten mit höchstens 30 % Steinen von über 0,01 cbm bis 0,1 cbm Rauminhalt.</w:t>
          </w:r>
        </w:p>
        <w:p w14:paraId="6FA1BD05" w14:textId="77777777" w:rsidR="008C6B07" w:rsidRPr="008C6B07" w:rsidRDefault="008C6B07" w:rsidP="008C6B07">
          <w:pPr>
            <w:pStyle w:val="Listenabsatz"/>
            <w:numPr>
              <w:ilvl w:val="0"/>
              <w:numId w:val="5"/>
            </w:numPr>
            <w:tabs>
              <w:tab w:val="left" w:pos="2127"/>
            </w:tabs>
            <w:spacing w:before="120" w:after="0" w:line="360" w:lineRule="auto"/>
            <w:ind w:left="850" w:hanging="215"/>
            <w:rPr>
              <w:rFonts w:ascii="Arial" w:hAnsi="Arial" w:cs="Arial"/>
              <w:u w:val="single"/>
            </w:rPr>
          </w:pPr>
          <w:r w:rsidRPr="008C6B07">
            <w:rPr>
              <w:rFonts w:ascii="Arial" w:hAnsi="Arial" w:cs="Arial"/>
              <w:u w:val="single"/>
            </w:rPr>
            <w:t>Homogenbereich 2</w:t>
          </w:r>
        </w:p>
        <w:p w14:paraId="2ADD5EAE" w14:textId="77777777" w:rsidR="008C6B07" w:rsidRPr="008C6B07" w:rsidRDefault="008C6B07" w:rsidP="008C6B07">
          <w:pPr>
            <w:pStyle w:val="Listenabsatz"/>
            <w:spacing w:after="120"/>
            <w:ind w:left="850"/>
            <w:contextualSpacing w:val="0"/>
            <w:jc w:val="both"/>
            <w:rPr>
              <w:rFonts w:ascii="Arial" w:hAnsi="Arial" w:cs="Arial"/>
            </w:rPr>
          </w:pPr>
          <w:r w:rsidRPr="008C6B07">
            <w:rPr>
              <w:rFonts w:ascii="Arial" w:hAnsi="Arial" w:cs="Arial"/>
            </w:rPr>
            <w:t>Bodenarten, die von flüssiger bis breiiger Beschaffenheit sind und die das Wasser schwer abgeben.</w:t>
          </w:r>
        </w:p>
        <w:p w14:paraId="0986086A" w14:textId="77777777" w:rsidR="008C6B07" w:rsidRPr="008C6B07" w:rsidRDefault="008C6B07" w:rsidP="008C6B07">
          <w:pPr>
            <w:pStyle w:val="Listenabsatz"/>
            <w:numPr>
              <w:ilvl w:val="0"/>
              <w:numId w:val="5"/>
            </w:numPr>
            <w:tabs>
              <w:tab w:val="left" w:pos="2127"/>
            </w:tabs>
            <w:spacing w:before="120" w:after="0" w:line="360" w:lineRule="auto"/>
            <w:ind w:left="850" w:hanging="215"/>
            <w:rPr>
              <w:rFonts w:ascii="Arial" w:hAnsi="Arial" w:cs="Arial"/>
              <w:u w:val="single"/>
            </w:rPr>
          </w:pPr>
          <w:r w:rsidRPr="008C6B07">
            <w:rPr>
              <w:rFonts w:ascii="Arial" w:hAnsi="Arial" w:cs="Arial"/>
              <w:u w:val="single"/>
            </w:rPr>
            <w:t>Homogenbereich 3</w:t>
          </w:r>
        </w:p>
        <w:p w14:paraId="75FD7DC1" w14:textId="77777777" w:rsidR="008C6B07" w:rsidRPr="008C6B07" w:rsidRDefault="008C6B07" w:rsidP="008C6B07">
          <w:pPr>
            <w:pStyle w:val="Listenabsatz"/>
            <w:spacing w:after="120"/>
            <w:ind w:left="850"/>
            <w:contextualSpacing w:val="0"/>
            <w:jc w:val="both"/>
            <w:rPr>
              <w:rFonts w:ascii="Arial" w:hAnsi="Arial" w:cs="Arial"/>
            </w:rPr>
          </w:pPr>
          <w:r w:rsidRPr="008C6B07">
            <w:rPr>
              <w:rFonts w:ascii="Arial" w:hAnsi="Arial" w:cs="Arial"/>
            </w:rPr>
            <w:t>Felsarten, die einen inneren, mineralisch gebundenen Zusammenhalt haben, jedoch stark klüftig, brüchig, bröckelig</w:t>
          </w:r>
          <w:r w:rsidR="00422466">
            <w:rPr>
              <w:rFonts w:ascii="Arial" w:hAnsi="Arial" w:cs="Arial"/>
            </w:rPr>
            <w:t>,</w:t>
          </w:r>
          <w:r w:rsidRPr="008C6B07">
            <w:rPr>
              <w:rFonts w:ascii="Arial" w:hAnsi="Arial" w:cs="Arial"/>
            </w:rPr>
            <w:t xml:space="preserve"> schiedrig, weich oder verwittert sind, sowie vergleichbare feste und verfestigte bindige oder nichtbindige Bodenarten, z.B. durch Austrocknung, Gefrieren, chemische Bindungen.</w:t>
          </w:r>
        </w:p>
        <w:p w14:paraId="18CE5E9C" w14:textId="77777777" w:rsidR="000C7F27" w:rsidRDefault="008C6B07" w:rsidP="008C6B07">
          <w:pPr>
            <w:pStyle w:val="Listenabsatz"/>
            <w:spacing w:after="120"/>
            <w:ind w:left="850"/>
            <w:contextualSpacing w:val="0"/>
            <w:jc w:val="both"/>
            <w:rPr>
              <w:rFonts w:ascii="Arial" w:hAnsi="Arial" w:cs="Arial"/>
            </w:rPr>
          </w:pPr>
          <w:r w:rsidRPr="008C6B07">
            <w:rPr>
              <w:rFonts w:ascii="Arial" w:hAnsi="Arial" w:cs="Arial"/>
            </w:rPr>
            <w:t>Nichtbindige und bindige Bodenarten mit mehr als 30 % Steinen von über 0,01 cbm bis 0,1 cbm Rauminhalt</w:t>
          </w:r>
        </w:p>
        <w:p w14:paraId="40104623" w14:textId="77777777" w:rsidR="008C6B07" w:rsidRPr="000C7F27" w:rsidRDefault="000C7F27" w:rsidP="000C7F27">
          <w:pPr>
            <w:rPr>
              <w:rFonts w:ascii="Arial" w:hAnsi="Arial" w:cs="Arial"/>
            </w:rPr>
          </w:pPr>
          <w:r>
            <w:rPr>
              <w:rFonts w:ascii="Arial" w:hAnsi="Arial" w:cs="Arial"/>
            </w:rPr>
            <w:br w:type="page"/>
          </w:r>
        </w:p>
        <w:p w14:paraId="4B5F80C9" w14:textId="77777777" w:rsidR="008C6B07" w:rsidRPr="008C6B07" w:rsidRDefault="008C6B07" w:rsidP="008C6B07">
          <w:pPr>
            <w:pStyle w:val="Listenabsatz"/>
            <w:numPr>
              <w:ilvl w:val="0"/>
              <w:numId w:val="5"/>
            </w:numPr>
            <w:tabs>
              <w:tab w:val="left" w:pos="2127"/>
            </w:tabs>
            <w:spacing w:before="120" w:after="0" w:line="360" w:lineRule="auto"/>
            <w:ind w:left="850" w:hanging="215"/>
            <w:rPr>
              <w:rFonts w:ascii="Arial" w:hAnsi="Arial" w:cs="Arial"/>
              <w:u w:val="single"/>
            </w:rPr>
          </w:pPr>
          <w:r w:rsidRPr="008C6B07">
            <w:rPr>
              <w:rFonts w:ascii="Arial" w:hAnsi="Arial" w:cs="Arial"/>
              <w:u w:val="single"/>
            </w:rPr>
            <w:lastRenderedPageBreak/>
            <w:t>Homogenbereich 4</w:t>
          </w:r>
        </w:p>
        <w:p w14:paraId="29DC7138" w14:textId="77777777" w:rsidR="008C6B07" w:rsidRPr="008C6B07" w:rsidRDefault="008C6B07" w:rsidP="000C7F27">
          <w:pPr>
            <w:pStyle w:val="Listenabsatz"/>
            <w:spacing w:after="60"/>
            <w:ind w:left="851"/>
            <w:contextualSpacing w:val="0"/>
            <w:jc w:val="both"/>
            <w:rPr>
              <w:rFonts w:ascii="Arial" w:hAnsi="Arial" w:cs="Arial"/>
            </w:rPr>
          </w:pPr>
          <w:r w:rsidRPr="008C6B07">
            <w:rPr>
              <w:rFonts w:ascii="Arial" w:hAnsi="Arial" w:cs="Arial"/>
            </w:rPr>
            <w:t xml:space="preserve">Felsarten, die einen inneren, mineralisch gebundenen Zusammenhalt und hohe Gefügefestigkeit haben und die nur wenig klüftig oder verwittert sind, auch festgelagerter, unverwitterter Tonschiefer, Nagelfluhschichten, Schlackenhalden der Hüttenwerke und dergleichen. </w:t>
          </w:r>
        </w:p>
        <w:p w14:paraId="08F02ECA" w14:textId="77777777" w:rsidR="0052483E" w:rsidRDefault="008C6B07" w:rsidP="008C6B07">
          <w:pPr>
            <w:pStyle w:val="Listenabsatz"/>
            <w:spacing w:after="120"/>
            <w:ind w:left="850"/>
            <w:contextualSpacing w:val="0"/>
            <w:jc w:val="both"/>
            <w:rPr>
              <w:rFonts w:ascii="Arial" w:hAnsi="Arial" w:cs="Arial"/>
            </w:rPr>
          </w:pPr>
          <w:r w:rsidRPr="008C6B07">
            <w:rPr>
              <w:rFonts w:ascii="Arial" w:hAnsi="Arial" w:cs="Arial"/>
            </w:rPr>
            <w:t>Steine von über 0,1 cbm Rauminhalt.</w:t>
          </w:r>
        </w:p>
        <w:p w14:paraId="013FACC4" w14:textId="77777777" w:rsidR="008C6B07" w:rsidRPr="008C6B07" w:rsidRDefault="008C6B07" w:rsidP="008C6B07">
          <w:pPr>
            <w:pStyle w:val="Listenabsatz"/>
            <w:tabs>
              <w:tab w:val="left" w:pos="2127"/>
            </w:tabs>
            <w:spacing w:before="120" w:after="0" w:line="360" w:lineRule="auto"/>
            <w:ind w:left="850"/>
            <w:rPr>
              <w:rFonts w:ascii="Arial" w:hAnsi="Arial" w:cs="Arial"/>
              <w:i/>
            </w:rPr>
          </w:pPr>
          <w:r w:rsidRPr="008C6B07">
            <w:rPr>
              <w:rFonts w:ascii="Arial" w:hAnsi="Arial" w:cs="Arial"/>
              <w:i/>
            </w:rPr>
            <w:t>Hinweise:</w:t>
          </w:r>
        </w:p>
        <w:p w14:paraId="02D38338" w14:textId="77777777" w:rsidR="008C6B07" w:rsidRPr="008C6B07" w:rsidRDefault="008C6B07" w:rsidP="008C6B07">
          <w:pPr>
            <w:pStyle w:val="Listenabsatz"/>
            <w:spacing w:after="120"/>
            <w:ind w:left="850"/>
            <w:contextualSpacing w:val="0"/>
            <w:jc w:val="both"/>
            <w:rPr>
              <w:rFonts w:ascii="Arial" w:hAnsi="Arial" w:cs="Arial"/>
            </w:rPr>
          </w:pPr>
          <w:r w:rsidRPr="008C6B07">
            <w:rPr>
              <w:rFonts w:ascii="Arial" w:hAnsi="Arial" w:cs="Arial"/>
            </w:rPr>
            <w:t>0,01 cbm entspricht einer Kugel mit einem Duchmesser von ca. 0,3 m.</w:t>
          </w:r>
        </w:p>
        <w:p w14:paraId="075DAEAD" w14:textId="77777777" w:rsidR="008C6B07" w:rsidRDefault="008C6B07" w:rsidP="008C6B07">
          <w:pPr>
            <w:pStyle w:val="Listenabsatz"/>
            <w:ind w:left="710" w:firstLine="140"/>
            <w:jc w:val="both"/>
            <w:rPr>
              <w:rFonts w:ascii="Arial" w:hAnsi="Arial" w:cs="Arial"/>
            </w:rPr>
          </w:pPr>
          <w:r w:rsidRPr="008C6B07">
            <w:rPr>
              <w:rFonts w:ascii="Arial" w:hAnsi="Arial" w:cs="Arial"/>
            </w:rPr>
            <w:t>0,1 cbm entspricht einer Kugel mit einem Duchmesser von ca. 0,6 m.</w:t>
          </w:r>
        </w:p>
        <w:p w14:paraId="3002CBB8" w14:textId="77777777" w:rsidR="00041212" w:rsidRDefault="00041212" w:rsidP="008C6B07">
          <w:pPr>
            <w:pStyle w:val="Listenabsatz"/>
            <w:ind w:left="426"/>
            <w:jc w:val="both"/>
            <w:rPr>
              <w:rFonts w:ascii="Arial" w:hAnsi="Arial" w:cs="Arial"/>
            </w:rPr>
          </w:pPr>
        </w:p>
        <w:p w14:paraId="764E2B21" w14:textId="77777777" w:rsidR="00041212" w:rsidRDefault="003D633C" w:rsidP="003D633C">
          <w:pPr>
            <w:pStyle w:val="Listenabsatz"/>
            <w:numPr>
              <w:ilvl w:val="0"/>
              <w:numId w:val="3"/>
            </w:numPr>
            <w:ind w:left="426" w:hanging="426"/>
            <w:jc w:val="both"/>
            <w:rPr>
              <w:rFonts w:ascii="Arial" w:hAnsi="Arial" w:cs="Arial"/>
            </w:rPr>
          </w:pPr>
          <w:r w:rsidRPr="00041212">
            <w:rPr>
              <w:rFonts w:ascii="Arial" w:hAnsi="Arial" w:cs="Arial"/>
            </w:rPr>
            <w:t>Die LAGA M20 mit dem Stand vom 06.11.1997 entspricht aufgrund der veränderten rechtlichen Rahmenbedingungen im Abfallrecht (KrW-/AbfG bzw. KrWG) und im Bodenschutzrecht (BBodSch9, BBodSchV) sowie des Urteils des Bundesverwaltungsgerichts vom 14.04.2005 zur Verfüllung einer Tongrube („Tongrubenurteil“) in weiten Teilen nicht</w:t>
          </w:r>
          <w:r w:rsidR="00041212">
            <w:rPr>
              <w:rFonts w:ascii="Arial" w:hAnsi="Arial" w:cs="Arial"/>
            </w:rPr>
            <w:t xml:space="preserve"> mehr der aktuellen Rechtslage.</w:t>
          </w:r>
        </w:p>
        <w:p w14:paraId="2FD97731" w14:textId="77777777" w:rsidR="00041212" w:rsidRDefault="003D633C" w:rsidP="00041212">
          <w:pPr>
            <w:pStyle w:val="Listenabsatz"/>
            <w:ind w:left="426"/>
            <w:jc w:val="both"/>
            <w:rPr>
              <w:rFonts w:ascii="Arial" w:hAnsi="Arial" w:cs="Arial"/>
            </w:rPr>
          </w:pPr>
          <w:r w:rsidRPr="00041212">
            <w:rPr>
              <w:rFonts w:ascii="Arial" w:hAnsi="Arial" w:cs="Arial"/>
            </w:rPr>
            <w:t>In einer novellierten Bundes-Bodenschutz- und Altlastenverordnung soll zukünftig bundesweit eine verbindliche Regelung zur Verwertung von B</w:t>
          </w:r>
          <w:r w:rsidR="00041212">
            <w:rPr>
              <w:rFonts w:ascii="Arial" w:hAnsi="Arial" w:cs="Arial"/>
            </w:rPr>
            <w:t>odenmaterial eingeführt werden.</w:t>
          </w:r>
        </w:p>
        <w:p w14:paraId="44BE6359" w14:textId="77777777" w:rsidR="00041212" w:rsidRDefault="003D633C" w:rsidP="00041212">
          <w:pPr>
            <w:pStyle w:val="Listenabsatz"/>
            <w:ind w:left="426"/>
            <w:jc w:val="both"/>
            <w:rPr>
              <w:rFonts w:ascii="Arial" w:hAnsi="Arial" w:cs="Arial"/>
            </w:rPr>
          </w:pPr>
          <w:r w:rsidRPr="003D633C">
            <w:rPr>
              <w:rFonts w:ascii="Arial" w:hAnsi="Arial" w:cs="Arial"/>
            </w:rPr>
            <w:t>Bis dahin ist nach dem Landesamt für Natur, Umwelt und Verbraucherschutz NRW (LANUV NRW) die LAGA-Mitteilung M20 vom 05.11.2004 anzuwenden.</w:t>
          </w:r>
        </w:p>
        <w:p w14:paraId="56F63149" w14:textId="77777777" w:rsidR="00041212" w:rsidRDefault="00041212" w:rsidP="00041212">
          <w:pPr>
            <w:pStyle w:val="Listenabsatz"/>
            <w:ind w:left="426"/>
            <w:jc w:val="both"/>
            <w:rPr>
              <w:rFonts w:ascii="Arial" w:hAnsi="Arial" w:cs="Arial"/>
            </w:rPr>
          </w:pPr>
        </w:p>
        <w:p w14:paraId="3DCDA333" w14:textId="77777777" w:rsidR="00DD2F67" w:rsidRPr="00DD2F67" w:rsidRDefault="00DD2F67" w:rsidP="00DD2F67">
          <w:pPr>
            <w:pStyle w:val="Listenabsatz"/>
            <w:numPr>
              <w:ilvl w:val="0"/>
              <w:numId w:val="3"/>
            </w:numPr>
            <w:ind w:left="426" w:hanging="426"/>
            <w:jc w:val="both"/>
            <w:rPr>
              <w:rFonts w:ascii="Arial" w:hAnsi="Arial" w:cs="Arial"/>
            </w:rPr>
          </w:pPr>
          <w:r w:rsidRPr="00DD2F67">
            <w:rPr>
              <w:rFonts w:ascii="Arial" w:hAnsi="Arial" w:cs="Arial"/>
            </w:rPr>
            <w:t xml:space="preserve">Feine und grobe Gesteinskörnungen aus Kalkstein sind in Deckschichten und als Abstreumaterial für Fahrbahnen nicht zugelassen. </w:t>
          </w:r>
        </w:p>
        <w:p w14:paraId="14FAA1AA" w14:textId="77777777" w:rsidR="00DD2F67" w:rsidRPr="00DD2F67" w:rsidRDefault="00DD2F67" w:rsidP="00DD2F67">
          <w:pPr>
            <w:pStyle w:val="Listenabsatz"/>
            <w:ind w:left="426"/>
            <w:jc w:val="both"/>
            <w:rPr>
              <w:rFonts w:ascii="Arial" w:hAnsi="Arial" w:cs="Arial"/>
            </w:rPr>
          </w:pPr>
          <w:r w:rsidRPr="00DD2F67">
            <w:rPr>
              <w:rFonts w:ascii="Arial" w:hAnsi="Arial" w:cs="Arial"/>
            </w:rPr>
            <w:t>Hiervon ausgenommen sind feine und grobe Gesteinskörnungen aus Alpiner Moräne.</w:t>
          </w:r>
        </w:p>
        <w:p w14:paraId="6E18AAD5" w14:textId="77777777" w:rsidR="00DD2F67" w:rsidRPr="00DD2F67" w:rsidRDefault="00DD2F67" w:rsidP="00DD2F67">
          <w:pPr>
            <w:pStyle w:val="Listenabsatz"/>
            <w:ind w:left="426"/>
            <w:jc w:val="both"/>
            <w:rPr>
              <w:rFonts w:ascii="Arial" w:hAnsi="Arial" w:cs="Arial"/>
            </w:rPr>
          </w:pPr>
          <w:r w:rsidRPr="00DD2F67">
            <w:rPr>
              <w:rFonts w:ascii="Arial" w:hAnsi="Arial" w:cs="Arial"/>
            </w:rPr>
            <w:t xml:space="preserve">Feine Gesteinskörnungen aus Grauwacke mit einem Gehalt an </w:t>
          </w:r>
          <w:r>
            <w:rPr>
              <w:rFonts w:ascii="Arial" w:hAnsi="Arial" w:cs="Arial"/>
            </w:rPr>
            <w:br/>
          </w:r>
          <w:r w:rsidRPr="00DD2F67">
            <w:rPr>
              <w:rFonts w:ascii="Arial" w:hAnsi="Arial" w:cs="Arial"/>
            </w:rPr>
            <w:t>Feinanteilen &gt; 12,0 M.-%  sind in Deck- und Binderschichten nicht zugelassen.</w:t>
          </w:r>
        </w:p>
        <w:p w14:paraId="435E906F" w14:textId="77777777" w:rsidR="00DD2F67" w:rsidRPr="00DD2F67" w:rsidRDefault="00DD2F67" w:rsidP="00DD2F67">
          <w:pPr>
            <w:pStyle w:val="Listenabsatz"/>
            <w:ind w:left="426"/>
            <w:jc w:val="both"/>
            <w:rPr>
              <w:rFonts w:ascii="Arial" w:hAnsi="Arial" w:cs="Arial"/>
            </w:rPr>
          </w:pPr>
        </w:p>
        <w:p w14:paraId="1DD7D143" w14:textId="77777777" w:rsidR="00DD2F67" w:rsidRPr="00DD2F67" w:rsidRDefault="00DD2F67" w:rsidP="00DD2F67">
          <w:pPr>
            <w:pStyle w:val="Listenabsatz"/>
            <w:ind w:left="426"/>
            <w:jc w:val="both"/>
            <w:rPr>
              <w:rFonts w:ascii="Arial" w:hAnsi="Arial" w:cs="Arial"/>
            </w:rPr>
          </w:pPr>
          <w:r w:rsidRPr="00DD2F67">
            <w:rPr>
              <w:rFonts w:ascii="Arial" w:hAnsi="Arial" w:cs="Arial"/>
            </w:rPr>
            <w:t>Für Deckschichten und Asphaltbinderschichten ist Kalksteinfüller zu verwenden. Für Deckschichten aus Walzasphalt und Asphaltbinderschichten ist in Kombination mit groben Gesteinskörnungen aus Diabas die Verwendung von Diabas-Füller zugelassen.</w:t>
          </w:r>
        </w:p>
        <w:p w14:paraId="7B83B022" w14:textId="77777777" w:rsidR="00DD2F67" w:rsidRPr="00DD2F67" w:rsidRDefault="00DD2F67" w:rsidP="00DD2F67">
          <w:pPr>
            <w:pStyle w:val="Listenabsatz"/>
            <w:ind w:left="426"/>
            <w:jc w:val="both"/>
            <w:rPr>
              <w:rFonts w:ascii="Arial" w:hAnsi="Arial" w:cs="Arial"/>
            </w:rPr>
          </w:pPr>
        </w:p>
        <w:p w14:paraId="0608FC6B" w14:textId="77777777" w:rsidR="00DD2F67" w:rsidRPr="00DD2F67" w:rsidRDefault="00DD2F67" w:rsidP="00DD2F67">
          <w:pPr>
            <w:pStyle w:val="Listenabsatz"/>
            <w:ind w:left="426"/>
            <w:jc w:val="both"/>
            <w:rPr>
              <w:rFonts w:ascii="Arial" w:hAnsi="Arial" w:cs="Arial"/>
            </w:rPr>
          </w:pPr>
          <w:r w:rsidRPr="00DD2F67">
            <w:rPr>
              <w:rFonts w:ascii="Arial" w:hAnsi="Arial" w:cs="Arial"/>
            </w:rPr>
            <w:t>Abstreumaterial für Gussasphalt muss der Kategorie SI15 (Anforderung an die Kornformkennzahl) entsprechen.</w:t>
          </w:r>
        </w:p>
        <w:p w14:paraId="21C85649" w14:textId="77777777" w:rsidR="00DD2F67" w:rsidRPr="00DD2F67" w:rsidRDefault="00DD2F67" w:rsidP="00DD2F67">
          <w:pPr>
            <w:pStyle w:val="Listenabsatz"/>
            <w:ind w:left="426"/>
            <w:jc w:val="both"/>
            <w:rPr>
              <w:rFonts w:ascii="Arial" w:hAnsi="Arial" w:cs="Arial"/>
            </w:rPr>
          </w:pPr>
        </w:p>
        <w:p w14:paraId="1DA2F7F4" w14:textId="77777777" w:rsidR="00DD2F67" w:rsidRPr="00DD2F67" w:rsidRDefault="00DD2F67" w:rsidP="00DD2F67">
          <w:pPr>
            <w:pStyle w:val="Listenabsatz"/>
            <w:ind w:left="426"/>
            <w:jc w:val="both"/>
            <w:rPr>
              <w:rFonts w:ascii="Arial" w:hAnsi="Arial" w:cs="Arial"/>
            </w:rPr>
          </w:pPr>
          <w:r w:rsidRPr="00DD2F67">
            <w:rPr>
              <w:rFonts w:ascii="Arial" w:hAnsi="Arial" w:cs="Arial"/>
            </w:rPr>
            <w:t>Gesteinskörnungen für Asphaltbinder AC 16 B S für Verkehrsflächenbefestigun</w:t>
          </w:r>
          <w:r>
            <w:rPr>
              <w:rFonts w:ascii="Arial" w:hAnsi="Arial" w:cs="Arial"/>
            </w:rPr>
            <w:t xml:space="preserve">gen der Belastungsklasse Bk3,2 </w:t>
          </w:r>
          <w:r w:rsidRPr="00DD2F67">
            <w:rPr>
              <w:rFonts w:ascii="Arial" w:hAnsi="Arial" w:cs="Arial"/>
            </w:rPr>
            <w:t>müssen in Bezug auf den Widerstand gegen Zertrümmerung der Kategorie</w:t>
          </w:r>
          <w:r w:rsidRPr="00DD2F67">
            <w:rPr>
              <w:rFonts w:ascii="Arial" w:hAnsi="Arial" w:cs="Arial"/>
              <w:iCs/>
            </w:rPr>
            <w:t xml:space="preserve"> SZ</w:t>
          </w:r>
          <w:r w:rsidRPr="00DD2F67">
            <w:rPr>
              <w:rFonts w:ascii="Arial" w:hAnsi="Arial" w:cs="Arial"/>
              <w:iCs/>
              <w:vertAlign w:val="subscript"/>
            </w:rPr>
            <w:t>18</w:t>
          </w:r>
          <w:r w:rsidRPr="00DD2F67">
            <w:rPr>
              <w:rFonts w:ascii="Arial" w:hAnsi="Arial" w:cs="Arial"/>
              <w:iCs/>
            </w:rPr>
            <w:t xml:space="preserve"> bzw. der Kategorie LA</w:t>
          </w:r>
          <w:r w:rsidRPr="00DD2F67">
            <w:rPr>
              <w:rFonts w:ascii="Arial" w:hAnsi="Arial" w:cs="Arial"/>
              <w:iCs/>
              <w:vertAlign w:val="subscript"/>
            </w:rPr>
            <w:t>20</w:t>
          </w:r>
          <w:r w:rsidRPr="00DD2F67">
            <w:rPr>
              <w:rFonts w:ascii="Arial" w:hAnsi="Arial" w:cs="Arial"/>
              <w:iCs/>
            </w:rPr>
            <w:t xml:space="preserve"> entsprechen.</w:t>
          </w:r>
        </w:p>
        <w:p w14:paraId="100EFF6B" w14:textId="77777777" w:rsidR="00DD2F67" w:rsidRPr="00DD2F67" w:rsidRDefault="00DD2F67" w:rsidP="00DD2F67">
          <w:pPr>
            <w:pStyle w:val="Listenabsatz"/>
            <w:ind w:left="426"/>
            <w:jc w:val="both"/>
            <w:rPr>
              <w:rFonts w:ascii="Arial" w:hAnsi="Arial" w:cs="Arial"/>
            </w:rPr>
          </w:pPr>
        </w:p>
        <w:p w14:paraId="2A69730E" w14:textId="77777777" w:rsidR="00DD2F67" w:rsidRPr="00DD2F67" w:rsidRDefault="00DD2F67" w:rsidP="00DD2F67">
          <w:pPr>
            <w:pStyle w:val="Listenabsatz"/>
            <w:ind w:left="426"/>
            <w:jc w:val="both"/>
            <w:rPr>
              <w:rFonts w:ascii="Arial" w:hAnsi="Arial" w:cs="Arial"/>
            </w:rPr>
          </w:pPr>
          <w:r w:rsidRPr="00DD2F67">
            <w:rPr>
              <w:rFonts w:ascii="Arial" w:hAnsi="Arial" w:cs="Arial"/>
            </w:rPr>
            <w:t>Bei der Verwendung von sauren Gesteinen (z.B. Grauwacke, Quarzit) in Verbindung mit Straßenbaubitumen ist bei Asphaltbinderschichten und Deckschichten aus Walzasphalt 1,5 M.-% Kalkhydrat als Haftverbesserer zuzugeben. Bei der Verwendung von polymermodifiziertem Bitumen in Verbindung mit sauren Gesteinen ist ein Haftverbesserer nicht erforderlich.</w:t>
          </w:r>
        </w:p>
        <w:p w14:paraId="2A6FA8FE" w14:textId="77777777" w:rsidR="00DD2F67" w:rsidRPr="00DD2F67" w:rsidRDefault="00DD2F67" w:rsidP="00DD2F67">
          <w:pPr>
            <w:pStyle w:val="Listenabsatz"/>
            <w:ind w:left="426"/>
            <w:jc w:val="both"/>
            <w:rPr>
              <w:rFonts w:ascii="Arial" w:hAnsi="Arial" w:cs="Arial"/>
            </w:rPr>
          </w:pPr>
        </w:p>
        <w:p w14:paraId="18B2E800" w14:textId="77777777" w:rsidR="00DD2F67" w:rsidRPr="00DD2F67" w:rsidRDefault="00DD2F67" w:rsidP="00DD2F67">
          <w:pPr>
            <w:pStyle w:val="Listenabsatz"/>
            <w:ind w:left="426"/>
            <w:jc w:val="both"/>
            <w:rPr>
              <w:rFonts w:ascii="Arial" w:hAnsi="Arial" w:cs="Arial"/>
            </w:rPr>
          </w:pPr>
          <w:r w:rsidRPr="00DD2F67">
            <w:rPr>
              <w:rFonts w:ascii="Arial" w:hAnsi="Arial" w:cs="Arial"/>
            </w:rPr>
            <w:t>Asphaltgranulat darf in Deckschichten aus Gussasphalt und Splittmastixasphalt nicht verwendet werden.</w:t>
          </w:r>
        </w:p>
        <w:p w14:paraId="227B05AB" w14:textId="77777777" w:rsidR="00DD2F67" w:rsidRPr="00DD2F67" w:rsidRDefault="00DD2F67" w:rsidP="00DD2F67">
          <w:pPr>
            <w:pStyle w:val="Listenabsatz"/>
            <w:ind w:left="426"/>
            <w:jc w:val="both"/>
            <w:rPr>
              <w:rFonts w:ascii="Arial" w:hAnsi="Arial" w:cs="Arial"/>
            </w:rPr>
          </w:pPr>
        </w:p>
        <w:p w14:paraId="64953767" w14:textId="77777777" w:rsidR="00DD2F67" w:rsidRPr="00DD2F67" w:rsidRDefault="00DD2F67" w:rsidP="00DD2F67">
          <w:pPr>
            <w:pStyle w:val="Listenabsatz"/>
            <w:ind w:left="426"/>
            <w:jc w:val="both"/>
            <w:rPr>
              <w:rFonts w:ascii="Arial" w:hAnsi="Arial" w:cs="Arial"/>
            </w:rPr>
          </w:pPr>
          <w:r w:rsidRPr="00DD2F67">
            <w:rPr>
              <w:rFonts w:ascii="Arial" w:hAnsi="Arial" w:cs="Arial"/>
            </w:rPr>
            <w:t>Eine Begrenzung der Zugabemenge von Asphaltgranulat wird bei Asphalttrag-, Asphaltbinder- und Deckschichten aus Asphaltbeton in der Leistungsposition festgelegt. Ist in der Leistungsposition keine Obergrenze der Asphaltgranulatzugabe festgelegt ist im Rahmen der Erstprüfung die Eignung der  vorgesehenen Zugabemenge nachzuweisen.</w:t>
          </w:r>
        </w:p>
        <w:p w14:paraId="4B7B52CB" w14:textId="77777777" w:rsidR="00DD2F67" w:rsidRDefault="00DD2F67" w:rsidP="00041212">
          <w:pPr>
            <w:pStyle w:val="Listenabsatz"/>
            <w:ind w:left="426"/>
            <w:jc w:val="both"/>
            <w:rPr>
              <w:rFonts w:ascii="Arial" w:hAnsi="Arial" w:cs="Arial"/>
            </w:rPr>
          </w:pPr>
        </w:p>
        <w:p w14:paraId="5524108F" w14:textId="77777777" w:rsidR="00041212" w:rsidRDefault="003D633C" w:rsidP="003D633C">
          <w:pPr>
            <w:pStyle w:val="Listenabsatz"/>
            <w:numPr>
              <w:ilvl w:val="0"/>
              <w:numId w:val="3"/>
            </w:numPr>
            <w:ind w:left="426" w:hanging="426"/>
            <w:jc w:val="both"/>
            <w:rPr>
              <w:rFonts w:ascii="Arial" w:hAnsi="Arial" w:cs="Arial"/>
            </w:rPr>
          </w:pPr>
          <w:r w:rsidRPr="003D633C">
            <w:rPr>
              <w:rFonts w:ascii="Arial" w:hAnsi="Arial" w:cs="Arial"/>
            </w:rPr>
            <w:t>Soweit nach der Leistungsbeschreibung der Einbau bituminöser Massen nach Schichtdicken vorgesehen ist, erfolgt der Nachweis bei den Tragschichten nach Bohrkernen oder durch el</w:t>
          </w:r>
          <w:r w:rsidR="00041212">
            <w:rPr>
              <w:rFonts w:ascii="Arial" w:hAnsi="Arial" w:cs="Arial"/>
            </w:rPr>
            <w:t>ektromagnetische Dickenmessung.</w:t>
          </w:r>
        </w:p>
        <w:p w14:paraId="639C1D7B" w14:textId="77777777" w:rsidR="00041212" w:rsidRDefault="003D633C" w:rsidP="00041212">
          <w:pPr>
            <w:pStyle w:val="Listenabsatz"/>
            <w:ind w:left="426"/>
            <w:jc w:val="both"/>
            <w:rPr>
              <w:rFonts w:ascii="Arial" w:hAnsi="Arial" w:cs="Arial"/>
            </w:rPr>
          </w:pPr>
          <w:r w:rsidRPr="00041212">
            <w:rPr>
              <w:rFonts w:ascii="Arial" w:hAnsi="Arial" w:cs="Arial"/>
            </w:rPr>
            <w:t>Bei dem Nachweis der Schichtdicken durch Bohrkerne hat der AN die Bohrkerne zu entnehmen. Die Bohrkerne sind im Abstand von 100 m zu entnehmen und die Bohrlöcher sind vom AN sofort zu verfüllen und z</w:t>
          </w:r>
          <w:r w:rsidR="00041212">
            <w:rPr>
              <w:rFonts w:ascii="Arial" w:hAnsi="Arial" w:cs="Arial"/>
            </w:rPr>
            <w:t>u verdichten bzw. zu vergießen.</w:t>
          </w:r>
        </w:p>
        <w:p w14:paraId="7723E839" w14:textId="77777777" w:rsidR="00041212" w:rsidRDefault="003D633C" w:rsidP="00041212">
          <w:pPr>
            <w:pStyle w:val="Listenabsatz"/>
            <w:ind w:left="426"/>
            <w:jc w:val="both"/>
            <w:rPr>
              <w:rFonts w:ascii="Arial" w:hAnsi="Arial" w:cs="Arial"/>
            </w:rPr>
          </w:pPr>
          <w:r w:rsidRPr="00041212">
            <w:rPr>
              <w:rFonts w:ascii="Arial" w:hAnsi="Arial" w:cs="Arial"/>
            </w:rPr>
            <w:t xml:space="preserve">Die Dickenmessung erfolgt gemeinsam mit einer Schieblehre oder einem anderen geeigneten Gerät. Über das Ergebnis ist unter Verwendung der in den TPD-StB vorgesehenen Formularen eine Niederschrift zu fertigen, die von beiden </w:t>
          </w:r>
          <w:r w:rsidR="00041212">
            <w:rPr>
              <w:rFonts w:ascii="Arial" w:hAnsi="Arial" w:cs="Arial"/>
            </w:rPr>
            <w:t>Parteien zu unterschreiben ist.</w:t>
          </w:r>
        </w:p>
        <w:p w14:paraId="3790CC2B" w14:textId="77777777" w:rsidR="00041212" w:rsidRDefault="00041212" w:rsidP="00041212">
          <w:pPr>
            <w:pStyle w:val="Listenabsatz"/>
            <w:ind w:left="426"/>
            <w:jc w:val="both"/>
            <w:rPr>
              <w:rFonts w:ascii="Arial" w:hAnsi="Arial" w:cs="Arial"/>
            </w:rPr>
          </w:pPr>
        </w:p>
        <w:p w14:paraId="48F55208" w14:textId="77777777" w:rsidR="00041212" w:rsidRDefault="003D633C" w:rsidP="00041212">
          <w:pPr>
            <w:pStyle w:val="Listenabsatz"/>
            <w:ind w:left="426"/>
            <w:jc w:val="both"/>
            <w:rPr>
              <w:rFonts w:ascii="Arial" w:hAnsi="Arial" w:cs="Arial"/>
            </w:rPr>
          </w:pPr>
          <w:r w:rsidRPr="00041212">
            <w:rPr>
              <w:rFonts w:ascii="Arial" w:hAnsi="Arial" w:cs="Arial"/>
            </w:rPr>
            <w:t>Die Entnahme der Bohrkerne und die Verfüllung der Bohrlöcher we</w:t>
          </w:r>
          <w:r w:rsidR="00041212">
            <w:rPr>
              <w:rFonts w:ascii="Arial" w:hAnsi="Arial" w:cs="Arial"/>
            </w:rPr>
            <w:t>rden nicht gesondert berechnet.</w:t>
          </w:r>
        </w:p>
        <w:p w14:paraId="0658D088" w14:textId="77777777" w:rsidR="00041212" w:rsidRDefault="00041212" w:rsidP="00041212">
          <w:pPr>
            <w:pStyle w:val="Listenabsatz"/>
            <w:ind w:left="426"/>
            <w:jc w:val="both"/>
            <w:rPr>
              <w:rFonts w:ascii="Arial" w:hAnsi="Arial" w:cs="Arial"/>
            </w:rPr>
          </w:pPr>
        </w:p>
        <w:p w14:paraId="184499CC" w14:textId="77777777" w:rsidR="00041212" w:rsidRDefault="003D633C" w:rsidP="00041212">
          <w:pPr>
            <w:pStyle w:val="Listenabsatz"/>
            <w:ind w:left="426"/>
            <w:jc w:val="both"/>
            <w:rPr>
              <w:rFonts w:ascii="Arial" w:hAnsi="Arial" w:cs="Arial"/>
            </w:rPr>
          </w:pPr>
          <w:r w:rsidRPr="00041212">
            <w:rPr>
              <w:rFonts w:ascii="Arial" w:hAnsi="Arial" w:cs="Arial"/>
            </w:rPr>
            <w:t>Der AG behält sich vor die Ebenheit der Deckschichten mit ei</w:t>
          </w:r>
          <w:r w:rsidR="00041212">
            <w:rPr>
              <w:rFonts w:ascii="Arial" w:hAnsi="Arial" w:cs="Arial"/>
            </w:rPr>
            <w:t>nem Planographen zu überprüfen.</w:t>
          </w:r>
        </w:p>
        <w:p w14:paraId="1ACCD6EB" w14:textId="77777777" w:rsidR="00041212" w:rsidRDefault="00041212" w:rsidP="00041212">
          <w:pPr>
            <w:pStyle w:val="Listenabsatz"/>
            <w:ind w:left="426"/>
            <w:jc w:val="both"/>
            <w:rPr>
              <w:rFonts w:ascii="Arial" w:hAnsi="Arial" w:cs="Arial"/>
            </w:rPr>
          </w:pPr>
        </w:p>
        <w:p w14:paraId="3F5DA480" w14:textId="77777777" w:rsidR="003D633C" w:rsidRDefault="003D633C" w:rsidP="00041212">
          <w:pPr>
            <w:pStyle w:val="Listenabsatz"/>
            <w:ind w:left="426"/>
            <w:jc w:val="both"/>
            <w:rPr>
              <w:rFonts w:ascii="Arial" w:hAnsi="Arial" w:cs="Arial"/>
            </w:rPr>
          </w:pPr>
          <w:r w:rsidRPr="003D633C">
            <w:rPr>
              <w:rFonts w:ascii="Arial" w:hAnsi="Arial" w:cs="Arial"/>
            </w:rPr>
            <w:t>Bei einem Nachweis der Schichtdicken durch elektromagnetische Dickenmessungen sind die Messstellen im Abstand von ca. 100 m nach Angabe der Bauüberwachung anzuordnen. Das Verlegen der Gegenpole mit allen erforderlichen Materiallieferungen und die Gestellung und Bedienung des Messgerätes ist Sache des AN und wird nicht besonders vergütet. Das Ergebnis der elektromagnetischen Dickenmessung ist nach dem Formblatt des TPD-StB festzuhalten.</w:t>
          </w:r>
        </w:p>
        <w:p w14:paraId="067CA602" w14:textId="77777777" w:rsidR="00041212" w:rsidRPr="003D633C" w:rsidRDefault="00041212" w:rsidP="00041212">
          <w:pPr>
            <w:pStyle w:val="Listenabsatz"/>
            <w:ind w:left="426"/>
            <w:jc w:val="both"/>
            <w:rPr>
              <w:rFonts w:ascii="Arial" w:hAnsi="Arial" w:cs="Arial"/>
            </w:rPr>
          </w:pPr>
        </w:p>
        <w:p w14:paraId="76F95697" w14:textId="77777777" w:rsidR="0010736A" w:rsidRPr="0010736A" w:rsidRDefault="003D633C" w:rsidP="0010736A">
          <w:pPr>
            <w:pStyle w:val="Listenabsatz"/>
            <w:numPr>
              <w:ilvl w:val="0"/>
              <w:numId w:val="3"/>
            </w:numPr>
            <w:spacing w:after="120" w:line="240" w:lineRule="auto"/>
            <w:ind w:left="425" w:hanging="425"/>
            <w:contextualSpacing w:val="0"/>
            <w:jc w:val="both"/>
            <w:rPr>
              <w:rFonts w:ascii="Arial" w:hAnsi="Arial" w:cs="Arial"/>
            </w:rPr>
          </w:pPr>
          <w:r w:rsidRPr="003D633C">
            <w:rPr>
              <w:rFonts w:ascii="Arial" w:hAnsi="Arial" w:cs="Arial"/>
            </w:rPr>
            <w:t>Für Griffigkeitsmessungen der Fahrbahndecke gelten gemäß ZTV Asphalt-Stb 07 folgende Messgeschwindigkeiten:</w:t>
          </w:r>
        </w:p>
        <w:p w14:paraId="567BE414" w14:textId="77777777" w:rsidR="003D633C" w:rsidRPr="003D633C" w:rsidRDefault="003D633C" w:rsidP="0010736A">
          <w:pPr>
            <w:pStyle w:val="Listenabsatz"/>
            <w:numPr>
              <w:ilvl w:val="0"/>
              <w:numId w:val="5"/>
            </w:numPr>
            <w:tabs>
              <w:tab w:val="left" w:pos="2127"/>
            </w:tabs>
            <w:spacing w:before="120" w:after="0" w:line="360" w:lineRule="auto"/>
            <w:ind w:left="850" w:hanging="215"/>
            <w:rPr>
              <w:rFonts w:ascii="Arial" w:hAnsi="Arial" w:cs="Arial"/>
            </w:rPr>
          </w:pPr>
          <w:r w:rsidRPr="003D633C">
            <w:rPr>
              <w:rFonts w:ascii="Arial" w:hAnsi="Arial" w:cs="Arial"/>
            </w:rPr>
            <w:t>Innerörtlich:</w:t>
          </w:r>
          <w:r w:rsidRPr="003D633C">
            <w:rPr>
              <w:rFonts w:ascii="Arial" w:hAnsi="Arial" w:cs="Arial"/>
            </w:rPr>
            <w:tab/>
            <w:t>40 km/h</w:t>
          </w:r>
        </w:p>
        <w:p w14:paraId="69E9AB9B" w14:textId="77777777" w:rsidR="00EA4C35" w:rsidRDefault="003D633C" w:rsidP="0010736A">
          <w:pPr>
            <w:pStyle w:val="Listenabsatz"/>
            <w:numPr>
              <w:ilvl w:val="0"/>
              <w:numId w:val="5"/>
            </w:numPr>
            <w:tabs>
              <w:tab w:val="left" w:pos="2127"/>
            </w:tabs>
            <w:spacing w:before="120" w:after="0" w:line="240" w:lineRule="auto"/>
            <w:ind w:left="850" w:hanging="215"/>
            <w:rPr>
              <w:rFonts w:ascii="Arial" w:hAnsi="Arial" w:cs="Arial"/>
            </w:rPr>
          </w:pPr>
          <w:r w:rsidRPr="003D633C">
            <w:rPr>
              <w:rFonts w:ascii="Arial" w:hAnsi="Arial" w:cs="Arial"/>
            </w:rPr>
            <w:t>Außerörtlich:</w:t>
          </w:r>
          <w:r w:rsidRPr="003D633C">
            <w:rPr>
              <w:rFonts w:ascii="Arial" w:hAnsi="Arial" w:cs="Arial"/>
            </w:rPr>
            <w:tab/>
            <w:t>60 km/h</w:t>
          </w:r>
        </w:p>
        <w:p w14:paraId="44693911" w14:textId="77777777" w:rsidR="00EA4C35" w:rsidRPr="00EA4C35" w:rsidRDefault="00EA4C35" w:rsidP="00EA4C35">
          <w:pPr>
            <w:pStyle w:val="Listenabsatz"/>
            <w:ind w:left="426"/>
            <w:jc w:val="both"/>
            <w:rPr>
              <w:rFonts w:ascii="Arial" w:hAnsi="Arial" w:cs="Arial"/>
            </w:rPr>
          </w:pPr>
        </w:p>
        <w:p w14:paraId="13BF2043" w14:textId="77777777" w:rsidR="00EA4C35" w:rsidRPr="00422466" w:rsidRDefault="003D633C" w:rsidP="003D633C">
          <w:pPr>
            <w:pStyle w:val="Listenabsatz"/>
            <w:numPr>
              <w:ilvl w:val="0"/>
              <w:numId w:val="3"/>
            </w:numPr>
            <w:ind w:left="426" w:hanging="426"/>
            <w:jc w:val="both"/>
            <w:rPr>
              <w:rFonts w:ascii="Arial" w:hAnsi="Arial" w:cs="Arial"/>
              <w:b/>
            </w:rPr>
          </w:pPr>
          <w:r w:rsidRPr="00422466">
            <w:rPr>
              <w:rFonts w:ascii="Arial" w:hAnsi="Arial" w:cs="Arial"/>
              <w:b/>
            </w:rPr>
            <w:t xml:space="preserve">Der Materialnachweis bei der </w:t>
          </w:r>
          <w:r w:rsidR="00EA4C35" w:rsidRPr="00422466">
            <w:rPr>
              <w:rFonts w:ascii="Arial" w:hAnsi="Arial" w:cs="Arial"/>
              <w:b/>
            </w:rPr>
            <w:t xml:space="preserve">Asphaltdeckschicht und bei den </w:t>
          </w:r>
          <w:r w:rsidRPr="00422466">
            <w:rPr>
              <w:rFonts w:ascii="Arial" w:hAnsi="Arial" w:cs="Arial"/>
              <w:b/>
            </w:rPr>
            <w:t>Auffahrten und Anschlüssen erfolgt nach Wiegekarten.</w:t>
          </w:r>
        </w:p>
        <w:p w14:paraId="26457113" w14:textId="77777777" w:rsidR="00EA4C35" w:rsidRDefault="00EA4C35" w:rsidP="00EA4C35">
          <w:pPr>
            <w:pStyle w:val="Listenabsatz"/>
            <w:ind w:left="426"/>
            <w:jc w:val="both"/>
            <w:rPr>
              <w:rFonts w:ascii="Arial" w:hAnsi="Arial" w:cs="Arial"/>
              <w:b/>
            </w:rPr>
          </w:pPr>
        </w:p>
        <w:p w14:paraId="510FAB5C" w14:textId="77777777" w:rsidR="00EA4C35" w:rsidRDefault="003D633C" w:rsidP="00EA4C35">
          <w:pPr>
            <w:pStyle w:val="Listenabsatz"/>
            <w:ind w:left="426"/>
            <w:jc w:val="both"/>
            <w:rPr>
              <w:rFonts w:ascii="Arial" w:hAnsi="Arial" w:cs="Arial"/>
            </w:rPr>
          </w:pPr>
          <w:r w:rsidRPr="00EA4C35">
            <w:rPr>
              <w:rFonts w:ascii="Arial" w:hAnsi="Arial" w:cs="Arial"/>
            </w:rPr>
            <w:t>Die Originale der Belege sind dem Beauftragten des Auftraggebers bereits bei der Auslieferung der Baustoffe zur Prüfung vorzulegen. Es werden bei der Abrechnung nur solche Belege anerkannt, auf denen der Beauftragte des Auftraggebers durch seine Unterschrift die Richtig</w:t>
          </w:r>
          <w:r w:rsidR="00EA4C35">
            <w:rPr>
              <w:rFonts w:ascii="Arial" w:hAnsi="Arial" w:cs="Arial"/>
            </w:rPr>
            <w:t>keit der Angaben bestätigt hat.</w:t>
          </w:r>
        </w:p>
        <w:p w14:paraId="612DD0DF" w14:textId="77777777" w:rsidR="00EA4C35" w:rsidRDefault="003D633C" w:rsidP="00EA4C35">
          <w:pPr>
            <w:pStyle w:val="Listenabsatz"/>
            <w:ind w:left="426"/>
            <w:jc w:val="both"/>
            <w:rPr>
              <w:rFonts w:ascii="Arial" w:hAnsi="Arial" w:cs="Arial"/>
            </w:rPr>
          </w:pPr>
          <w:r w:rsidRPr="003D633C">
            <w:rPr>
              <w:rFonts w:ascii="Arial" w:hAnsi="Arial" w:cs="Arial"/>
            </w:rPr>
            <w:t xml:space="preserve">Der AG behält sich vor, auf den Materialnachweis durch Wiegekarten bei der Asphaltdeckschicht zu verzichten, wenn der AN ein Messgerät für die elektromagnetische Dickenmessung mit Bedienung zur Verfügung stellt. </w:t>
          </w:r>
        </w:p>
        <w:p w14:paraId="35B2DCCB" w14:textId="77777777" w:rsidR="00EA4C35" w:rsidRDefault="00EA4C35" w:rsidP="00EA4C35">
          <w:pPr>
            <w:pStyle w:val="Listenabsatz"/>
            <w:ind w:left="426"/>
            <w:jc w:val="both"/>
            <w:rPr>
              <w:rFonts w:ascii="Arial" w:hAnsi="Arial" w:cs="Arial"/>
            </w:rPr>
          </w:pPr>
        </w:p>
        <w:p w14:paraId="29CD3329" w14:textId="77777777" w:rsidR="00EA4C35" w:rsidRDefault="003D633C" w:rsidP="00EA4C35">
          <w:pPr>
            <w:pStyle w:val="Listenabsatz"/>
            <w:ind w:left="426"/>
            <w:jc w:val="both"/>
            <w:rPr>
              <w:rFonts w:ascii="Arial" w:hAnsi="Arial" w:cs="Arial"/>
            </w:rPr>
          </w:pPr>
          <w:r w:rsidRPr="003D633C">
            <w:rPr>
              <w:rFonts w:ascii="Arial" w:hAnsi="Arial" w:cs="Arial"/>
            </w:rPr>
            <w:lastRenderedPageBreak/>
            <w:t xml:space="preserve">Bei fassgebundener Ware genügt als Nachweis der Lieferschein und die Fassliste mit folgenden Angaben: Fassnummer, Netto- und Bruttogewicht. </w:t>
          </w:r>
        </w:p>
        <w:p w14:paraId="40307673" w14:textId="77777777" w:rsidR="00EA4C35" w:rsidRDefault="00EA4C35" w:rsidP="00EA4C35">
          <w:pPr>
            <w:pStyle w:val="Listenabsatz"/>
            <w:ind w:left="426"/>
            <w:jc w:val="both"/>
            <w:rPr>
              <w:rFonts w:ascii="Arial" w:hAnsi="Arial" w:cs="Arial"/>
            </w:rPr>
          </w:pPr>
        </w:p>
        <w:p w14:paraId="1E3CE95B" w14:textId="77777777" w:rsidR="003D633C" w:rsidRDefault="003D633C" w:rsidP="00EA4C35">
          <w:pPr>
            <w:pStyle w:val="Listenabsatz"/>
            <w:ind w:left="426"/>
            <w:jc w:val="both"/>
            <w:rPr>
              <w:rFonts w:ascii="Arial" w:hAnsi="Arial" w:cs="Arial"/>
              <w:b/>
            </w:rPr>
          </w:pPr>
          <w:r w:rsidRPr="00EA4C35">
            <w:rPr>
              <w:rFonts w:ascii="Arial" w:hAnsi="Arial" w:cs="Arial"/>
              <w:b/>
            </w:rPr>
            <w:t>Die Herstellung von provisorischen Anschlüssen, Rampen und Angleichungen, auch in Längsrichtung und zu den einzelnen Grundstücken, ist ebenso wie ihre Beseitigung eine Nebenleistung und wird nicht besonders vergütet.</w:t>
          </w:r>
        </w:p>
        <w:p w14:paraId="21D0F7CA" w14:textId="77777777" w:rsidR="00EA4C35" w:rsidRPr="00EA4C35" w:rsidRDefault="00EA4C35" w:rsidP="00EA4C35">
          <w:pPr>
            <w:pStyle w:val="Listenabsatz"/>
            <w:ind w:left="426"/>
            <w:jc w:val="both"/>
            <w:rPr>
              <w:rFonts w:ascii="Arial" w:hAnsi="Arial" w:cs="Arial"/>
            </w:rPr>
          </w:pPr>
        </w:p>
        <w:p w14:paraId="68BECEE8" w14:textId="77777777" w:rsidR="00EA4C35" w:rsidRDefault="003D633C" w:rsidP="003D633C">
          <w:pPr>
            <w:pStyle w:val="Listenabsatz"/>
            <w:numPr>
              <w:ilvl w:val="0"/>
              <w:numId w:val="3"/>
            </w:numPr>
            <w:ind w:left="426" w:hanging="426"/>
            <w:jc w:val="both"/>
            <w:rPr>
              <w:rFonts w:ascii="Arial" w:hAnsi="Arial" w:cs="Arial"/>
            </w:rPr>
          </w:pPr>
          <w:r w:rsidRPr="003D633C">
            <w:rPr>
              <w:rFonts w:ascii="Arial" w:hAnsi="Arial" w:cs="Arial"/>
            </w:rPr>
            <w:t>Eignungsprüfungen dürfen nur von den vom Kreis Coesfeld zugelassenen Prüfstellen und Laborstellen durchgeführt werden. Ein Verzeichnis dieser Prüfstellen kann beim Tiefbauamt des Kreises Coesfeld eingesehen werden.</w:t>
          </w:r>
        </w:p>
        <w:p w14:paraId="7B1481E7" w14:textId="77777777" w:rsidR="00EA4C35" w:rsidRDefault="00EA4C35" w:rsidP="00EA4C35">
          <w:pPr>
            <w:pStyle w:val="Listenabsatz"/>
            <w:ind w:left="426"/>
            <w:jc w:val="both"/>
            <w:rPr>
              <w:rFonts w:ascii="Arial" w:hAnsi="Arial" w:cs="Arial"/>
            </w:rPr>
          </w:pPr>
        </w:p>
        <w:p w14:paraId="5CC88323" w14:textId="77777777" w:rsidR="00EA4C35" w:rsidRDefault="003D633C" w:rsidP="003D633C">
          <w:pPr>
            <w:pStyle w:val="Listenabsatz"/>
            <w:numPr>
              <w:ilvl w:val="0"/>
              <w:numId w:val="3"/>
            </w:numPr>
            <w:ind w:left="426" w:hanging="426"/>
            <w:jc w:val="both"/>
            <w:rPr>
              <w:rFonts w:ascii="Arial" w:hAnsi="Arial" w:cs="Arial"/>
            </w:rPr>
          </w:pPr>
          <w:r w:rsidRPr="00EA4C35">
            <w:rPr>
              <w:rFonts w:ascii="Arial" w:hAnsi="Arial" w:cs="Arial"/>
            </w:rPr>
            <w:t>Die Gesteinsarten Diabas und Basalt sind gemäß Anlage 1 der TRGS 517, Ausgabe Januar 2007 (Technische Regeln für Gefahrstoffe – „Tätigkeiten mit potenziell asbesthaltigen mineralischen Rohstoffen und daraus hergestellten Zubereitungen und Erzeugnissen“) als potenziell asbesthaltig eingestuft. Das Vorhandensein dieser Gesteinsarten im Straßenoberbau kann nicht ausgeschlossen werden. Beim Fräsen der Straßenbefestigung muss daher, im unmittelbaren Nahbereich der Fräse, mit partikelförmigen Gefahrstoffen (z.B. Asbestfasern) gerechnet werden.</w:t>
          </w:r>
        </w:p>
        <w:p w14:paraId="135BB840" w14:textId="77777777" w:rsidR="00EA4C35" w:rsidRDefault="003D633C" w:rsidP="00EA4C35">
          <w:pPr>
            <w:pStyle w:val="Listenabsatz"/>
            <w:ind w:left="426"/>
            <w:jc w:val="both"/>
            <w:rPr>
              <w:rFonts w:ascii="Arial" w:hAnsi="Arial" w:cs="Arial"/>
            </w:rPr>
          </w:pPr>
          <w:r w:rsidRPr="00EA4C35">
            <w:rPr>
              <w:rFonts w:ascii="Arial" w:hAnsi="Arial" w:cs="Arial"/>
            </w:rPr>
            <w:t>Gemäß Abschnitt „4. Allgemeine Schutzmaßnahmen“ der TRSG 517 müssen die erforderlichen Maßnahmen zur Minimierung der Gefährdung nach §9 der Gefahrstoffverordnung durchgeführt werden. Es ist Atemschutz nach Punkt 4.13 (2) zu tragen.</w:t>
          </w:r>
        </w:p>
        <w:p w14:paraId="40B81D42" w14:textId="77777777" w:rsidR="00EA4C35" w:rsidRDefault="00EA4C35" w:rsidP="00EA4C35">
          <w:pPr>
            <w:pStyle w:val="Listenabsatz"/>
            <w:ind w:left="426"/>
            <w:jc w:val="both"/>
            <w:rPr>
              <w:rFonts w:ascii="Arial" w:hAnsi="Arial" w:cs="Arial"/>
            </w:rPr>
          </w:pPr>
        </w:p>
        <w:p w14:paraId="724734AE" w14:textId="77777777" w:rsidR="00EA4C35" w:rsidRDefault="003D633C" w:rsidP="00EA4C35">
          <w:pPr>
            <w:pStyle w:val="Listenabsatz"/>
            <w:ind w:left="426"/>
            <w:jc w:val="both"/>
            <w:rPr>
              <w:rFonts w:ascii="Arial" w:hAnsi="Arial" w:cs="Arial"/>
            </w:rPr>
          </w:pPr>
          <w:r w:rsidRPr="003D633C">
            <w:rPr>
              <w:rFonts w:ascii="Arial" w:hAnsi="Arial" w:cs="Arial"/>
            </w:rPr>
            <w:t>Die Schutzmaßnahmen sind in die entsprechenden Leistungspositionen einzurechnen. Eine besondere Vergütung erfolgt nicht.</w:t>
          </w:r>
        </w:p>
        <w:p w14:paraId="30BCF0E5" w14:textId="77777777" w:rsidR="00EA4C35" w:rsidRDefault="00EA4C35" w:rsidP="00EA4C35">
          <w:pPr>
            <w:pStyle w:val="Listenabsatz"/>
            <w:ind w:left="426"/>
            <w:jc w:val="both"/>
            <w:rPr>
              <w:rFonts w:ascii="Arial" w:hAnsi="Arial" w:cs="Arial"/>
            </w:rPr>
          </w:pPr>
        </w:p>
        <w:p w14:paraId="5B725A6E" w14:textId="77777777" w:rsidR="00EA4C35" w:rsidRDefault="003D633C" w:rsidP="00EA4C35">
          <w:pPr>
            <w:pStyle w:val="Listenabsatz"/>
            <w:ind w:left="426"/>
            <w:jc w:val="both"/>
            <w:rPr>
              <w:rFonts w:ascii="Arial" w:hAnsi="Arial" w:cs="Arial"/>
            </w:rPr>
          </w:pPr>
          <w:r w:rsidRPr="003D633C">
            <w:rPr>
              <w:rFonts w:ascii="Arial" w:hAnsi="Arial" w:cs="Arial"/>
            </w:rPr>
            <w:t>Bei den Fräsarbeiten sind mögliche Verunreinigungen durch das Abfräsen von Fahrbahnmarkierungen zu berücksichtigen und in die entsprechenden Leistungspositionen einzurechnen. Eine besondere Vergütung erfolgt nicht.</w:t>
          </w:r>
        </w:p>
        <w:p w14:paraId="4D04149D" w14:textId="77777777" w:rsidR="00EA4C35" w:rsidRPr="000C7F27" w:rsidRDefault="000C7F27" w:rsidP="000C7F27">
          <w:pPr>
            <w:rPr>
              <w:rFonts w:ascii="Arial" w:hAnsi="Arial" w:cs="Arial"/>
            </w:rPr>
          </w:pPr>
          <w:r>
            <w:rPr>
              <w:rFonts w:ascii="Arial" w:hAnsi="Arial" w:cs="Arial"/>
            </w:rPr>
            <w:br w:type="page"/>
          </w:r>
        </w:p>
        <w:p w14:paraId="30979F08" w14:textId="77777777" w:rsidR="003D633C" w:rsidRPr="00EA4C35" w:rsidRDefault="003D633C" w:rsidP="00EA4C35">
          <w:pPr>
            <w:pStyle w:val="Listenabsatz"/>
            <w:numPr>
              <w:ilvl w:val="0"/>
              <w:numId w:val="3"/>
            </w:numPr>
            <w:spacing w:after="0" w:line="360" w:lineRule="auto"/>
            <w:ind w:left="425" w:hanging="425"/>
            <w:jc w:val="both"/>
            <w:rPr>
              <w:rFonts w:ascii="Arial" w:hAnsi="Arial" w:cs="Arial"/>
            </w:rPr>
          </w:pPr>
          <w:r w:rsidRPr="003D633C">
            <w:rPr>
              <w:rFonts w:ascii="Arial" w:hAnsi="Arial" w:cs="Arial"/>
            </w:rPr>
            <w:lastRenderedPageBreak/>
            <w:t>Soweit im Leistungstext nicht besonders darauf hingewiesen wird, beinhaltet:</w:t>
          </w:r>
        </w:p>
        <w:p w14:paraId="43BCC122" w14:textId="77777777" w:rsidR="0010736A" w:rsidRPr="0010736A" w:rsidRDefault="003D633C" w:rsidP="0010736A">
          <w:pPr>
            <w:pStyle w:val="Listenabsatz"/>
            <w:numPr>
              <w:ilvl w:val="0"/>
              <w:numId w:val="5"/>
            </w:numPr>
            <w:tabs>
              <w:tab w:val="left" w:pos="2127"/>
            </w:tabs>
            <w:spacing w:after="240" w:line="240" w:lineRule="auto"/>
            <w:ind w:left="850" w:hanging="215"/>
            <w:contextualSpacing w:val="0"/>
            <w:rPr>
              <w:rFonts w:ascii="Arial" w:hAnsi="Arial" w:cs="Arial"/>
            </w:rPr>
          </w:pPr>
          <w:r w:rsidRPr="00EA4C35">
            <w:rPr>
              <w:rFonts w:ascii="Arial" w:hAnsi="Arial" w:cs="Arial"/>
            </w:rPr>
            <w:t>Herstellen:</w:t>
          </w:r>
          <w:r w:rsidRPr="00EA4C35">
            <w:rPr>
              <w:rFonts w:ascii="Arial" w:hAnsi="Arial" w:cs="Arial"/>
            </w:rPr>
            <w:tab/>
            <w:t>Das Liefern, Fördern, Abladen, Zusammensetzen bis zu</w:t>
          </w:r>
          <w:r w:rsidR="00EA4C35">
            <w:rPr>
              <w:rFonts w:ascii="Arial" w:hAnsi="Arial" w:cs="Arial"/>
            </w:rPr>
            <w:t>r</w:t>
          </w:r>
          <w:r w:rsidR="00EA4C35">
            <w:rPr>
              <w:rFonts w:ascii="Arial" w:hAnsi="Arial" w:cs="Arial"/>
            </w:rPr>
            <w:tab/>
          </w:r>
          <w:r w:rsidRPr="00EA4C35">
            <w:rPr>
              <w:rFonts w:ascii="Arial" w:hAnsi="Arial" w:cs="Arial"/>
            </w:rPr>
            <w:t>vertragsge</w:t>
          </w:r>
          <w:r w:rsidR="0010736A">
            <w:rPr>
              <w:rFonts w:ascii="Arial" w:hAnsi="Arial" w:cs="Arial"/>
            </w:rPr>
            <w:t>-</w:t>
          </w:r>
          <w:r w:rsidR="0010736A">
            <w:rPr>
              <w:rFonts w:ascii="Arial" w:hAnsi="Arial" w:cs="Arial"/>
            </w:rPr>
            <w:tab/>
          </w:r>
          <w:r w:rsidRPr="00EA4C35">
            <w:rPr>
              <w:rFonts w:ascii="Arial" w:hAnsi="Arial" w:cs="Arial"/>
            </w:rPr>
            <w:t>rechten Fertigstellung der Leistung.</w:t>
          </w:r>
        </w:p>
        <w:p w14:paraId="3B4A1D47" w14:textId="77777777" w:rsidR="003D633C" w:rsidRPr="00EA4C35" w:rsidRDefault="003D633C" w:rsidP="0010736A">
          <w:pPr>
            <w:pStyle w:val="Listenabsatz"/>
            <w:numPr>
              <w:ilvl w:val="0"/>
              <w:numId w:val="5"/>
            </w:numPr>
            <w:tabs>
              <w:tab w:val="left" w:pos="2127"/>
            </w:tabs>
            <w:spacing w:after="0" w:line="240" w:lineRule="auto"/>
            <w:ind w:left="850" w:hanging="215"/>
            <w:jc w:val="both"/>
            <w:rPr>
              <w:rFonts w:ascii="Arial" w:hAnsi="Arial" w:cs="Arial"/>
            </w:rPr>
          </w:pPr>
          <w:r w:rsidRPr="00EA4C35">
            <w:rPr>
              <w:rFonts w:ascii="Arial" w:hAnsi="Arial" w:cs="Arial"/>
            </w:rPr>
            <w:t>Entsorgen:</w:t>
          </w:r>
          <w:r w:rsidRPr="00EA4C35">
            <w:rPr>
              <w:rFonts w:ascii="Arial" w:hAnsi="Arial" w:cs="Arial"/>
            </w:rPr>
            <w:tab/>
            <w:t xml:space="preserve">Das Aufnehmen, Fördern, Abladen, Bearbeiten, Verwerten bis zur </w:t>
          </w:r>
          <w:r w:rsidR="00EA4C35">
            <w:rPr>
              <w:rFonts w:ascii="Arial" w:hAnsi="Arial" w:cs="Arial"/>
            </w:rPr>
            <w:tab/>
          </w:r>
          <w:r w:rsidRPr="00EA4C35">
            <w:rPr>
              <w:rFonts w:ascii="Arial" w:hAnsi="Arial" w:cs="Arial"/>
            </w:rPr>
            <w:t xml:space="preserve">vertragsgerechten Nachweisung der ordnungsgemäßen Entsorgung </w:t>
          </w:r>
          <w:r w:rsidR="00EA4C35">
            <w:rPr>
              <w:rFonts w:ascii="Arial" w:hAnsi="Arial" w:cs="Arial"/>
            </w:rPr>
            <w:tab/>
            <w:t xml:space="preserve">und Endablagerung </w:t>
          </w:r>
          <w:r w:rsidRPr="00EA4C35">
            <w:rPr>
              <w:rFonts w:ascii="Arial" w:hAnsi="Arial" w:cs="Arial"/>
            </w:rPr>
            <w:t>nach den gesetzlichen Abfallbeseitigungsvorschrif</w:t>
          </w:r>
          <w:r w:rsidR="00EA4C35">
            <w:rPr>
              <w:rFonts w:ascii="Arial" w:hAnsi="Arial" w:cs="Arial"/>
            </w:rPr>
            <w:t>-</w:t>
          </w:r>
          <w:r w:rsidR="0010736A">
            <w:rPr>
              <w:rFonts w:ascii="Arial" w:hAnsi="Arial" w:cs="Arial"/>
            </w:rPr>
            <w:tab/>
          </w:r>
          <w:r w:rsidRPr="00EA4C35">
            <w:rPr>
              <w:rFonts w:ascii="Arial" w:hAnsi="Arial" w:cs="Arial"/>
            </w:rPr>
            <w:t>ten.</w:t>
          </w:r>
        </w:p>
        <w:p w14:paraId="25520429" w14:textId="77777777" w:rsidR="003D633C" w:rsidRPr="003D633C" w:rsidRDefault="003D633C" w:rsidP="0010736A">
          <w:pPr>
            <w:spacing w:after="0" w:line="240" w:lineRule="auto"/>
            <w:rPr>
              <w:rFonts w:ascii="Arial" w:hAnsi="Arial" w:cs="Arial"/>
            </w:rPr>
          </w:pPr>
        </w:p>
        <w:p w14:paraId="56766ACA" w14:textId="77777777" w:rsidR="0010736A" w:rsidRDefault="003D633C" w:rsidP="003D633C">
          <w:pPr>
            <w:pStyle w:val="Listenabsatz"/>
            <w:numPr>
              <w:ilvl w:val="0"/>
              <w:numId w:val="3"/>
            </w:numPr>
            <w:ind w:left="426" w:hanging="426"/>
            <w:jc w:val="both"/>
            <w:rPr>
              <w:rFonts w:ascii="Arial" w:hAnsi="Arial" w:cs="Arial"/>
            </w:rPr>
          </w:pPr>
          <w:r w:rsidRPr="003D633C">
            <w:rPr>
              <w:rFonts w:ascii="Arial" w:hAnsi="Arial" w:cs="Arial"/>
            </w:rPr>
            <w:t>Sofern in der Leistungsbeschreibung für Asphaltschichten die Abrechnung nach Gewicht oder der Materialnachweis nach Einbaugewicht erfolgt, ist</w:t>
          </w:r>
          <w:r w:rsidR="0010736A">
            <w:rPr>
              <w:rFonts w:ascii="Arial" w:hAnsi="Arial" w:cs="Arial"/>
            </w:rPr>
            <w:t xml:space="preserve"> für Asphaltmischgut ausschließ</w:t>
          </w:r>
          <w:r w:rsidRPr="003D633C">
            <w:rPr>
              <w:rFonts w:ascii="Arial" w:hAnsi="Arial" w:cs="Arial"/>
            </w:rPr>
            <w:t>lich natürliches Gestein als Zuschlagstoff vorzusehen.</w:t>
          </w:r>
        </w:p>
        <w:p w14:paraId="17EBB5AE" w14:textId="77777777" w:rsidR="0010736A" w:rsidRDefault="0010736A" w:rsidP="0010736A">
          <w:pPr>
            <w:pStyle w:val="Listenabsatz"/>
            <w:ind w:left="426"/>
            <w:jc w:val="both"/>
            <w:rPr>
              <w:rFonts w:ascii="Arial" w:hAnsi="Arial" w:cs="Arial"/>
            </w:rPr>
          </w:pPr>
        </w:p>
        <w:p w14:paraId="48A59613" w14:textId="77777777" w:rsidR="0010736A" w:rsidRDefault="003D633C" w:rsidP="003D633C">
          <w:pPr>
            <w:pStyle w:val="Listenabsatz"/>
            <w:numPr>
              <w:ilvl w:val="0"/>
              <w:numId w:val="3"/>
            </w:numPr>
            <w:ind w:left="426" w:hanging="426"/>
            <w:jc w:val="both"/>
            <w:rPr>
              <w:rFonts w:ascii="Arial" w:hAnsi="Arial" w:cs="Arial"/>
            </w:rPr>
          </w:pPr>
          <w:r w:rsidRPr="0010736A">
            <w:rPr>
              <w:rFonts w:ascii="Arial" w:hAnsi="Arial" w:cs="Arial"/>
            </w:rPr>
            <w:t>Die vorstehenden Angaben befreien den Anbieter nicht von der Verpflichtung der genauen Prüfung der für das Angebot und die Durchführung der Arbeiten maßgebenden Verhältnisse.</w:t>
          </w:r>
        </w:p>
        <w:p w14:paraId="137B23C8" w14:textId="77777777" w:rsidR="0010736A" w:rsidRDefault="0010736A" w:rsidP="0010736A">
          <w:pPr>
            <w:pStyle w:val="Listenabsatz"/>
            <w:ind w:left="426"/>
            <w:jc w:val="both"/>
            <w:rPr>
              <w:rFonts w:ascii="Arial" w:hAnsi="Arial" w:cs="Arial"/>
            </w:rPr>
          </w:pPr>
        </w:p>
        <w:p w14:paraId="76187111" w14:textId="77777777" w:rsidR="00E67931" w:rsidRPr="0010736A" w:rsidRDefault="003D633C" w:rsidP="003D633C">
          <w:pPr>
            <w:pStyle w:val="Listenabsatz"/>
            <w:numPr>
              <w:ilvl w:val="0"/>
              <w:numId w:val="3"/>
            </w:numPr>
            <w:ind w:left="426" w:hanging="426"/>
            <w:jc w:val="both"/>
            <w:rPr>
              <w:rFonts w:ascii="Arial" w:hAnsi="Arial" w:cs="Arial"/>
            </w:rPr>
          </w:pPr>
          <w:r w:rsidRPr="0010736A">
            <w:rPr>
              <w:rFonts w:ascii="Arial" w:hAnsi="Arial" w:cs="Arial"/>
            </w:rPr>
            <w:t>Die aus der Berücksichtigung der Vorbemerkungen entstehenden Kosten sind, soweit nicht anders angegeben, mit den Einheitspreisen der Leistungspositionen abgegolten.</w:t>
          </w:r>
        </w:p>
      </w:sdtContent>
    </w:sdt>
    <w:sectPr w:rsidR="00E67931" w:rsidRPr="0010736A" w:rsidSect="008C6B07">
      <w:headerReference w:type="default" r:id="rId8"/>
      <w:footerReference w:type="default" r:id="rId9"/>
      <w:pgSz w:w="11906" w:h="16838"/>
      <w:pgMar w:top="1417" w:right="1417" w:bottom="993" w:left="1418"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55014" w14:textId="77777777" w:rsidR="000B43EA" w:rsidRDefault="000B43EA" w:rsidP="000B43EA">
      <w:pPr>
        <w:spacing w:after="0" w:line="240" w:lineRule="auto"/>
      </w:pPr>
      <w:r>
        <w:separator/>
      </w:r>
    </w:p>
  </w:endnote>
  <w:endnote w:type="continuationSeparator" w:id="0">
    <w:p w14:paraId="1CEB70E5" w14:textId="77777777" w:rsidR="000B43EA" w:rsidRDefault="000B43EA" w:rsidP="000B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2247" w14:textId="77777777" w:rsidR="0052483E" w:rsidRPr="0052483E" w:rsidRDefault="0052483E" w:rsidP="0052483E">
    <w:pPr>
      <w:pStyle w:val="Fuzeile"/>
      <w:spacing w:before="120"/>
      <w:rPr>
        <w:rFonts w:ascii="Arial" w:hAnsi="Arial" w:cs="Arial"/>
        <w:sz w:val="24"/>
        <w:szCs w:val="24"/>
      </w:rPr>
    </w:pPr>
    <w:r>
      <w:rPr>
        <w:rFonts w:ascii="Arial" w:hAnsi="Arial" w:cs="Arial"/>
        <w:noProof/>
        <w:sz w:val="24"/>
        <w:szCs w:val="24"/>
        <w:lang w:eastAsia="de-DE"/>
      </w:rPr>
      <mc:AlternateContent>
        <mc:Choice Requires="wps">
          <w:drawing>
            <wp:anchor distT="0" distB="0" distL="114300" distR="114300" simplePos="0" relativeHeight="251659264" behindDoc="0" locked="0" layoutInCell="1" allowOverlap="1" wp14:anchorId="782EDAFA" wp14:editId="38939CF6">
              <wp:simplePos x="0" y="0"/>
              <wp:positionH relativeFrom="column">
                <wp:posOffset>-5080</wp:posOffset>
              </wp:positionH>
              <wp:positionV relativeFrom="paragraph">
                <wp:posOffset>47625</wp:posOffset>
              </wp:positionV>
              <wp:extent cx="5886450" cy="0"/>
              <wp:effectExtent l="0" t="0" r="19050" b="19050"/>
              <wp:wrapNone/>
              <wp:docPr id="1" name="Gerade Verbindung 1"/>
              <wp:cNvGraphicFramePr/>
              <a:graphic xmlns:a="http://schemas.openxmlformats.org/drawingml/2006/main">
                <a:graphicData uri="http://schemas.microsoft.com/office/word/2010/wordprocessingShape">
                  <wps:wsp>
                    <wps:cNvCnPr/>
                    <wps:spPr>
                      <a:xfrm>
                        <a:off x="0" y="0"/>
                        <a:ext cx="5886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85DE0" id="Gerade Verbindung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3.75pt" to="463.1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" strokecolor="black [3213]"/>
          </w:pict>
        </mc:Fallback>
      </mc:AlternateContent>
    </w:r>
    <w:r w:rsidRPr="0052483E">
      <w:rPr>
        <w:rFonts w:ascii="Arial" w:hAnsi="Arial" w:cs="Arial"/>
        <w:sz w:val="24"/>
        <w:szCs w:val="24"/>
      </w:rPr>
      <w:t xml:space="preserve">Baubeschreibung </w:t>
    </w:r>
  </w:p>
  <w:p w14:paraId="0191D0E5" w14:textId="77777777" w:rsidR="0052483E" w:rsidRDefault="0052483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688F9" w14:textId="77777777" w:rsidR="000B43EA" w:rsidRDefault="000B43EA" w:rsidP="000B43EA">
      <w:pPr>
        <w:spacing w:after="0" w:line="240" w:lineRule="auto"/>
      </w:pPr>
      <w:r>
        <w:separator/>
      </w:r>
    </w:p>
  </w:footnote>
  <w:footnote w:type="continuationSeparator" w:id="0">
    <w:p w14:paraId="649200FA" w14:textId="77777777" w:rsidR="000B43EA" w:rsidRDefault="000B43EA" w:rsidP="000B43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B7CB5" w14:textId="77777777" w:rsidR="000B43EA" w:rsidRPr="000B43EA" w:rsidRDefault="000B43EA">
    <w:pPr>
      <w:pStyle w:val="Kopfzeile"/>
      <w:jc w:val="center"/>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F427B"/>
    <w:multiLevelType w:val="hybridMultilevel"/>
    <w:tmpl w:val="41B40A04"/>
    <w:lvl w:ilvl="0" w:tplc="04070001">
      <w:start w:val="1"/>
      <w:numFmt w:val="bullet"/>
      <w:lvlText w:val=""/>
      <w:lvlJc w:val="left"/>
      <w:pPr>
        <w:ind w:left="1303" w:hanging="360"/>
      </w:pPr>
      <w:rPr>
        <w:rFonts w:ascii="Symbol" w:hAnsi="Symbol" w:hint="default"/>
      </w:rPr>
    </w:lvl>
    <w:lvl w:ilvl="1" w:tplc="04070003">
      <w:start w:val="1"/>
      <w:numFmt w:val="bullet"/>
      <w:lvlText w:val="o"/>
      <w:lvlJc w:val="left"/>
      <w:pPr>
        <w:ind w:left="2023" w:hanging="360"/>
      </w:pPr>
      <w:rPr>
        <w:rFonts w:ascii="Courier New" w:hAnsi="Courier New" w:cs="Courier New" w:hint="default"/>
      </w:rPr>
    </w:lvl>
    <w:lvl w:ilvl="2" w:tplc="04070005" w:tentative="1">
      <w:start w:val="1"/>
      <w:numFmt w:val="bullet"/>
      <w:lvlText w:val=""/>
      <w:lvlJc w:val="left"/>
      <w:pPr>
        <w:ind w:left="2743" w:hanging="360"/>
      </w:pPr>
      <w:rPr>
        <w:rFonts w:ascii="Wingdings" w:hAnsi="Wingdings" w:hint="default"/>
      </w:rPr>
    </w:lvl>
    <w:lvl w:ilvl="3" w:tplc="04070001" w:tentative="1">
      <w:start w:val="1"/>
      <w:numFmt w:val="bullet"/>
      <w:lvlText w:val=""/>
      <w:lvlJc w:val="left"/>
      <w:pPr>
        <w:ind w:left="3463" w:hanging="360"/>
      </w:pPr>
      <w:rPr>
        <w:rFonts w:ascii="Symbol" w:hAnsi="Symbol" w:hint="default"/>
      </w:rPr>
    </w:lvl>
    <w:lvl w:ilvl="4" w:tplc="04070003" w:tentative="1">
      <w:start w:val="1"/>
      <w:numFmt w:val="bullet"/>
      <w:lvlText w:val="o"/>
      <w:lvlJc w:val="left"/>
      <w:pPr>
        <w:ind w:left="4183" w:hanging="360"/>
      </w:pPr>
      <w:rPr>
        <w:rFonts w:ascii="Courier New" w:hAnsi="Courier New" w:cs="Courier New" w:hint="default"/>
      </w:rPr>
    </w:lvl>
    <w:lvl w:ilvl="5" w:tplc="04070005" w:tentative="1">
      <w:start w:val="1"/>
      <w:numFmt w:val="bullet"/>
      <w:lvlText w:val=""/>
      <w:lvlJc w:val="left"/>
      <w:pPr>
        <w:ind w:left="4903" w:hanging="360"/>
      </w:pPr>
      <w:rPr>
        <w:rFonts w:ascii="Wingdings" w:hAnsi="Wingdings" w:hint="default"/>
      </w:rPr>
    </w:lvl>
    <w:lvl w:ilvl="6" w:tplc="04070001" w:tentative="1">
      <w:start w:val="1"/>
      <w:numFmt w:val="bullet"/>
      <w:lvlText w:val=""/>
      <w:lvlJc w:val="left"/>
      <w:pPr>
        <w:ind w:left="5623" w:hanging="360"/>
      </w:pPr>
      <w:rPr>
        <w:rFonts w:ascii="Symbol" w:hAnsi="Symbol" w:hint="default"/>
      </w:rPr>
    </w:lvl>
    <w:lvl w:ilvl="7" w:tplc="04070003" w:tentative="1">
      <w:start w:val="1"/>
      <w:numFmt w:val="bullet"/>
      <w:lvlText w:val="o"/>
      <w:lvlJc w:val="left"/>
      <w:pPr>
        <w:ind w:left="6343" w:hanging="360"/>
      </w:pPr>
      <w:rPr>
        <w:rFonts w:ascii="Courier New" w:hAnsi="Courier New" w:cs="Courier New" w:hint="default"/>
      </w:rPr>
    </w:lvl>
    <w:lvl w:ilvl="8" w:tplc="04070005" w:tentative="1">
      <w:start w:val="1"/>
      <w:numFmt w:val="bullet"/>
      <w:lvlText w:val=""/>
      <w:lvlJc w:val="left"/>
      <w:pPr>
        <w:ind w:left="7063" w:hanging="360"/>
      </w:pPr>
      <w:rPr>
        <w:rFonts w:ascii="Wingdings" w:hAnsi="Wingdings" w:hint="default"/>
      </w:rPr>
    </w:lvl>
  </w:abstractNum>
  <w:abstractNum w:abstractNumId="1" w15:restartNumberingAfterBreak="0">
    <w:nsid w:val="0C764492"/>
    <w:multiLevelType w:val="hybridMultilevel"/>
    <w:tmpl w:val="E6EA4DA4"/>
    <w:lvl w:ilvl="0" w:tplc="09CEA546">
      <w:start w:val="2"/>
      <w:numFmt w:val="decimal"/>
      <w:lvlText w:val="%1."/>
      <w:lvlJc w:val="left"/>
      <w:pPr>
        <w:ind w:left="502" w:hanging="360"/>
      </w:pPr>
      <w:rPr>
        <w:rFonts w:hint="default"/>
        <w:b w:val="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 w15:restartNumberingAfterBreak="0">
    <w:nsid w:val="0F22384E"/>
    <w:multiLevelType w:val="hybridMultilevel"/>
    <w:tmpl w:val="B388E5D4"/>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 w15:restartNumberingAfterBreak="0">
    <w:nsid w:val="42A319AB"/>
    <w:multiLevelType w:val="hybridMultilevel"/>
    <w:tmpl w:val="B418A466"/>
    <w:lvl w:ilvl="0" w:tplc="0407000F">
      <w:start w:val="1"/>
      <w:numFmt w:val="decimal"/>
      <w:lvlText w:val="%1."/>
      <w:lvlJc w:val="left"/>
      <w:pPr>
        <w:ind w:left="1495" w:hanging="360"/>
      </w:pPr>
    </w:lvl>
    <w:lvl w:ilvl="1" w:tplc="04070019" w:tentative="1">
      <w:start w:val="1"/>
      <w:numFmt w:val="lowerLetter"/>
      <w:lvlText w:val="%2."/>
      <w:lvlJc w:val="left"/>
      <w:pPr>
        <w:ind w:left="2215" w:hanging="360"/>
      </w:pPr>
    </w:lvl>
    <w:lvl w:ilvl="2" w:tplc="0407001B" w:tentative="1">
      <w:start w:val="1"/>
      <w:numFmt w:val="lowerRoman"/>
      <w:lvlText w:val="%3."/>
      <w:lvlJc w:val="right"/>
      <w:pPr>
        <w:ind w:left="2935" w:hanging="180"/>
      </w:pPr>
    </w:lvl>
    <w:lvl w:ilvl="3" w:tplc="0407000F" w:tentative="1">
      <w:start w:val="1"/>
      <w:numFmt w:val="decimal"/>
      <w:lvlText w:val="%4."/>
      <w:lvlJc w:val="left"/>
      <w:pPr>
        <w:ind w:left="3655" w:hanging="360"/>
      </w:pPr>
    </w:lvl>
    <w:lvl w:ilvl="4" w:tplc="04070019" w:tentative="1">
      <w:start w:val="1"/>
      <w:numFmt w:val="lowerLetter"/>
      <w:lvlText w:val="%5."/>
      <w:lvlJc w:val="left"/>
      <w:pPr>
        <w:ind w:left="4375" w:hanging="360"/>
      </w:pPr>
    </w:lvl>
    <w:lvl w:ilvl="5" w:tplc="0407001B" w:tentative="1">
      <w:start w:val="1"/>
      <w:numFmt w:val="lowerRoman"/>
      <w:lvlText w:val="%6."/>
      <w:lvlJc w:val="right"/>
      <w:pPr>
        <w:ind w:left="5095" w:hanging="180"/>
      </w:pPr>
    </w:lvl>
    <w:lvl w:ilvl="6" w:tplc="0407000F" w:tentative="1">
      <w:start w:val="1"/>
      <w:numFmt w:val="decimal"/>
      <w:lvlText w:val="%7."/>
      <w:lvlJc w:val="left"/>
      <w:pPr>
        <w:ind w:left="5815" w:hanging="360"/>
      </w:pPr>
    </w:lvl>
    <w:lvl w:ilvl="7" w:tplc="04070019" w:tentative="1">
      <w:start w:val="1"/>
      <w:numFmt w:val="lowerLetter"/>
      <w:lvlText w:val="%8."/>
      <w:lvlJc w:val="left"/>
      <w:pPr>
        <w:ind w:left="6535" w:hanging="360"/>
      </w:pPr>
    </w:lvl>
    <w:lvl w:ilvl="8" w:tplc="0407001B" w:tentative="1">
      <w:start w:val="1"/>
      <w:numFmt w:val="lowerRoman"/>
      <w:lvlText w:val="%9."/>
      <w:lvlJc w:val="right"/>
      <w:pPr>
        <w:ind w:left="7255" w:hanging="180"/>
      </w:pPr>
    </w:lvl>
  </w:abstractNum>
  <w:abstractNum w:abstractNumId="4" w15:restartNumberingAfterBreak="0">
    <w:nsid w:val="474D0D25"/>
    <w:multiLevelType w:val="hybridMultilevel"/>
    <w:tmpl w:val="C3EA7806"/>
    <w:lvl w:ilvl="0" w:tplc="BA4C88F4">
      <w:start w:val="1"/>
      <w:numFmt w:val="decimal"/>
      <w:lvlText w:val="%1."/>
      <w:lvlJc w:val="left"/>
      <w:pPr>
        <w:ind w:left="780" w:hanging="420"/>
      </w:pPr>
      <w:rPr>
        <w:rFonts w:hint="default"/>
      </w:r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8331E05"/>
    <w:multiLevelType w:val="hybridMultilevel"/>
    <w:tmpl w:val="F7C29254"/>
    <w:lvl w:ilvl="0" w:tplc="E8269508">
      <w:start w:val="2"/>
      <w:numFmt w:val="decimal"/>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33C"/>
    <w:rsid w:val="00040350"/>
    <w:rsid w:val="00041212"/>
    <w:rsid w:val="00076E14"/>
    <w:rsid w:val="000B43EA"/>
    <w:rsid w:val="000B6787"/>
    <w:rsid w:val="000C7F27"/>
    <w:rsid w:val="0010736A"/>
    <w:rsid w:val="001B61B0"/>
    <w:rsid w:val="002F5A38"/>
    <w:rsid w:val="003D633C"/>
    <w:rsid w:val="00422466"/>
    <w:rsid w:val="0052483E"/>
    <w:rsid w:val="00564DEB"/>
    <w:rsid w:val="006058E6"/>
    <w:rsid w:val="00781450"/>
    <w:rsid w:val="0085602C"/>
    <w:rsid w:val="008C6B07"/>
    <w:rsid w:val="00971C1A"/>
    <w:rsid w:val="009C1529"/>
    <w:rsid w:val="009D0095"/>
    <w:rsid w:val="00B36490"/>
    <w:rsid w:val="00BA7C41"/>
    <w:rsid w:val="00C762EF"/>
    <w:rsid w:val="00CA52B8"/>
    <w:rsid w:val="00D02145"/>
    <w:rsid w:val="00D72937"/>
    <w:rsid w:val="00DD2F67"/>
    <w:rsid w:val="00DD6948"/>
    <w:rsid w:val="00DD6BC1"/>
    <w:rsid w:val="00E16E3B"/>
    <w:rsid w:val="00E67931"/>
    <w:rsid w:val="00EA4C35"/>
    <w:rsid w:val="00FD19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4C4D7EE"/>
  <w15:docId w15:val="{D5C95D32-969C-4622-9656-13AAF9B08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D633C"/>
    <w:pPr>
      <w:ind w:left="720"/>
      <w:contextualSpacing/>
    </w:pPr>
  </w:style>
  <w:style w:type="character" w:styleId="Platzhaltertext">
    <w:name w:val="Placeholder Text"/>
    <w:basedOn w:val="Absatz-Standardschriftart"/>
    <w:uiPriority w:val="99"/>
    <w:semiHidden/>
    <w:rsid w:val="0010736A"/>
    <w:rPr>
      <w:color w:val="808080"/>
    </w:rPr>
  </w:style>
  <w:style w:type="paragraph" w:styleId="Kopfzeile">
    <w:name w:val="header"/>
    <w:basedOn w:val="Standard"/>
    <w:link w:val="KopfzeileZchn"/>
    <w:uiPriority w:val="99"/>
    <w:unhideWhenUsed/>
    <w:rsid w:val="000B43E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B43EA"/>
  </w:style>
  <w:style w:type="paragraph" w:styleId="Fuzeile">
    <w:name w:val="footer"/>
    <w:basedOn w:val="Standard"/>
    <w:link w:val="FuzeileZchn"/>
    <w:uiPriority w:val="99"/>
    <w:unhideWhenUsed/>
    <w:rsid w:val="000B43E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B43EA"/>
  </w:style>
  <w:style w:type="paragraph" w:styleId="Sprechblasentext">
    <w:name w:val="Balloon Text"/>
    <w:basedOn w:val="Standard"/>
    <w:link w:val="SprechblasentextZchn"/>
    <w:uiPriority w:val="99"/>
    <w:semiHidden/>
    <w:unhideWhenUsed/>
    <w:rsid w:val="009D0095"/>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D009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Allgemein"/>
          <w:gallery w:val="placeholder"/>
        </w:category>
        <w:types>
          <w:type w:val="bbPlcHdr"/>
        </w:types>
        <w:behaviors>
          <w:behavior w:val="content"/>
        </w:behaviors>
        <w:guid w:val="{3017AACE-4A58-494C-91D4-90F763125332}"/>
      </w:docPartPr>
      <w:docPartBody>
        <w:p w:rsidR="0071523D" w:rsidRDefault="00146593">
          <w:r w:rsidRPr="00991E80">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6593"/>
    <w:rsid w:val="00146593"/>
    <w:rsid w:val="006C182B"/>
    <w:rsid w:val="007152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4659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1C323-EF5D-4D3F-8279-F6EBC593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2137</Words>
  <Characters>13470</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
    </vt:vector>
  </TitlesOfParts>
  <Company>Kreis Coesfeld</Company>
  <LinksUpToDate>false</LinksUpToDate>
  <CharactersWithSpaces>15576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Frahling, Werner</dc:creator>
  <cp:lastModifiedBy>Schraeder-Osthues, Michael</cp:lastModifiedBy>
  <cp:revision>2</cp:revision>
  <cp:lastPrinted>2019-03-29T05:20:00Z</cp:lastPrinted>
  <dcterms:created xsi:type="dcterms:W3CDTF">2026-05-20T11:43:00Z</dcterms:created>
  <dcterms:modified xsi:type="dcterms:W3CDTF">2026-05-20T11:43:00Z</dcterms:modified>
</cp:coreProperties>
</file>